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95C22" w14:textId="77617DF8" w:rsidR="0048453C" w:rsidRPr="003A1F09" w:rsidRDefault="00F22B80" w:rsidP="003A1F09">
      <w:pPr>
        <w:spacing w:after="160"/>
        <w:jc w:val="center"/>
        <w:rPr>
          <w:noProof/>
          <w:sz w:val="22"/>
          <w:szCs w:val="22"/>
        </w:rPr>
      </w:pPr>
      <w:r w:rsidRPr="003A1F09">
        <w:rPr>
          <w:noProof/>
          <w:sz w:val="22"/>
          <w:szCs w:val="22"/>
        </w:rPr>
        <w:t>Forecast</w:t>
      </w:r>
      <w:r w:rsidR="0048453C" w:rsidRPr="003A1F09">
        <w:rPr>
          <w:noProof/>
          <w:sz w:val="22"/>
          <w:szCs w:val="22"/>
        </w:rPr>
        <w:t xml:space="preserve"> of the 202</w:t>
      </w:r>
      <w:r w:rsidR="0059190F">
        <w:rPr>
          <w:noProof/>
          <w:sz w:val="22"/>
          <w:szCs w:val="22"/>
        </w:rPr>
        <w:t>4</w:t>
      </w:r>
      <w:r w:rsidR="0048453C" w:rsidRPr="003A1F09">
        <w:rPr>
          <w:noProof/>
          <w:sz w:val="22"/>
          <w:szCs w:val="22"/>
        </w:rPr>
        <w:t xml:space="preserve"> Hurricane Activities over the North Atlantic</w:t>
      </w:r>
    </w:p>
    <w:p w14:paraId="0947F50D" w14:textId="49D4ED43" w:rsidR="0048453C" w:rsidRPr="003A1F09" w:rsidRDefault="0048453C" w:rsidP="003A1F09">
      <w:pPr>
        <w:spacing w:after="160"/>
        <w:jc w:val="center"/>
        <w:rPr>
          <w:noProof/>
          <w:sz w:val="22"/>
          <w:szCs w:val="22"/>
        </w:rPr>
      </w:pPr>
      <w:r w:rsidRPr="003A1F09">
        <w:rPr>
          <w:rFonts w:hint="eastAsia"/>
          <w:noProof/>
          <w:sz w:val="22"/>
          <w:szCs w:val="22"/>
        </w:rPr>
        <w:t>K</w:t>
      </w:r>
      <w:r w:rsidRPr="003A1F09">
        <w:rPr>
          <w:noProof/>
          <w:sz w:val="22"/>
          <w:szCs w:val="22"/>
        </w:rPr>
        <w:t>yle Davis and Xubin Zeng</w:t>
      </w:r>
    </w:p>
    <w:p w14:paraId="6C53D3D9" w14:textId="56F17CA7" w:rsidR="0048453C" w:rsidRPr="003A1F09" w:rsidRDefault="0048453C" w:rsidP="003A1F09">
      <w:pPr>
        <w:spacing w:after="160"/>
        <w:jc w:val="center"/>
        <w:rPr>
          <w:noProof/>
          <w:sz w:val="22"/>
          <w:szCs w:val="22"/>
        </w:rPr>
      </w:pPr>
      <w:r w:rsidRPr="003A1F09">
        <w:rPr>
          <w:noProof/>
          <w:sz w:val="22"/>
          <w:szCs w:val="22"/>
        </w:rPr>
        <w:t xml:space="preserve">Department of Hydrologic and Atmospheric Sciences </w:t>
      </w:r>
    </w:p>
    <w:p w14:paraId="5F8A6E4C" w14:textId="77777777" w:rsidR="0048453C" w:rsidRPr="003A1F09" w:rsidRDefault="0048453C" w:rsidP="003A1F09">
      <w:pPr>
        <w:spacing w:after="160"/>
        <w:jc w:val="center"/>
        <w:rPr>
          <w:noProof/>
          <w:sz w:val="22"/>
          <w:szCs w:val="22"/>
        </w:rPr>
      </w:pPr>
      <w:r w:rsidRPr="003A1F09">
        <w:rPr>
          <w:noProof/>
          <w:sz w:val="22"/>
          <w:szCs w:val="22"/>
        </w:rPr>
        <w:t>University of Arizona, Tucson, AZ</w:t>
      </w:r>
    </w:p>
    <w:p w14:paraId="4A4EF53A" w14:textId="66C07803" w:rsidR="00F22B80" w:rsidRPr="003A1F09" w:rsidRDefault="0048453C" w:rsidP="003A1F09">
      <w:pPr>
        <w:spacing w:after="160"/>
        <w:jc w:val="center"/>
        <w:rPr>
          <w:noProof/>
          <w:sz w:val="22"/>
          <w:szCs w:val="22"/>
        </w:rPr>
      </w:pPr>
      <w:r w:rsidRPr="003A1F09">
        <w:rPr>
          <w:noProof/>
          <w:sz w:val="22"/>
          <w:szCs w:val="22"/>
        </w:rPr>
        <w:t>April 202</w:t>
      </w:r>
      <w:r w:rsidR="0059190F">
        <w:rPr>
          <w:noProof/>
          <w:sz w:val="22"/>
          <w:szCs w:val="22"/>
        </w:rPr>
        <w:t>4</w:t>
      </w:r>
      <w:r w:rsidRPr="003A1F09">
        <w:rPr>
          <w:noProof/>
          <w:sz w:val="22"/>
          <w:szCs w:val="22"/>
        </w:rPr>
        <w:t xml:space="preserve"> </w:t>
      </w:r>
    </w:p>
    <w:p w14:paraId="3F466475" w14:textId="62FB4115" w:rsidR="00581B9E" w:rsidRDefault="00581B9E" w:rsidP="00057BE1">
      <w:pPr>
        <w:spacing w:after="160"/>
        <w:rPr>
          <w:noProof/>
          <w:sz w:val="22"/>
        </w:rPr>
      </w:pPr>
      <w:r>
        <w:rPr>
          <w:noProof/>
          <w:sz w:val="22"/>
        </w:rPr>
        <w:t xml:space="preserve">Here we provide our view of the 2024 </w:t>
      </w:r>
      <w:r w:rsidR="00F16F65">
        <w:rPr>
          <w:noProof/>
          <w:sz w:val="22"/>
        </w:rPr>
        <w:t xml:space="preserve">hurricane </w:t>
      </w:r>
      <w:r>
        <w:rPr>
          <w:noProof/>
          <w:sz w:val="22"/>
        </w:rPr>
        <w:t>season</w:t>
      </w:r>
      <w:r w:rsidR="00C42322">
        <w:rPr>
          <w:noProof/>
          <w:sz w:val="22"/>
        </w:rPr>
        <w:t>(Table 1)</w:t>
      </w:r>
      <w:r>
        <w:rPr>
          <w:noProof/>
          <w:sz w:val="22"/>
        </w:rPr>
        <w:t>,</w:t>
      </w:r>
      <w:r w:rsidRPr="00C93F67">
        <w:rPr>
          <w:noProof/>
          <w:sz w:val="22"/>
        </w:rPr>
        <w:t xml:space="preserve"> which runs from June 1 to November 30</w:t>
      </w:r>
      <w:r>
        <w:rPr>
          <w:noProof/>
          <w:sz w:val="22"/>
        </w:rPr>
        <w:t xml:space="preserve">. </w:t>
      </w:r>
      <w:r w:rsidRPr="00C93F67">
        <w:rPr>
          <w:noProof/>
          <w:sz w:val="22"/>
        </w:rPr>
        <w:t xml:space="preserve">The prediction includes total numbers of named storms, hurricanes, major hurricanes, and accumulated cyclone energy (ACE, defined as the sum of the squares of the 6-hourly windspeeds in knots </w:t>
      </w:r>
      <w:r>
        <w:rPr>
          <w:noProof/>
          <w:sz w:val="22"/>
        </w:rPr>
        <w:t>of storms at least of</w:t>
      </w:r>
      <w:r w:rsidRPr="00C93F67">
        <w:rPr>
          <w:noProof/>
          <w:sz w:val="22"/>
        </w:rPr>
        <w:t xml:space="preserve"> tropical storm strength). Our forecast </w:t>
      </w:r>
      <w:r>
        <w:rPr>
          <w:noProof/>
          <w:sz w:val="22"/>
        </w:rPr>
        <w:t>combines dynamic forecasts with machine learning as informed by our physical understanding of hurricane activities</w:t>
      </w:r>
      <w:r w:rsidR="00C633C7">
        <w:rPr>
          <w:noProof/>
          <w:sz w:val="22"/>
        </w:rPr>
        <w:t>.</w:t>
      </w:r>
    </w:p>
    <w:p w14:paraId="54CC8AFB" w14:textId="50A25650" w:rsidR="00C93F67" w:rsidRDefault="00C07945" w:rsidP="00057BE1">
      <w:pPr>
        <w:spacing w:after="160"/>
        <w:rPr>
          <w:noProof/>
          <w:sz w:val="22"/>
        </w:rPr>
      </w:pPr>
      <w:r>
        <w:rPr>
          <w:noProof/>
          <w:sz w:val="22"/>
        </w:rPr>
        <w:t>W</w:t>
      </w:r>
      <w:r w:rsidR="0048453C">
        <w:rPr>
          <w:noProof/>
          <w:sz w:val="22"/>
        </w:rPr>
        <w:t xml:space="preserve">e </w:t>
      </w:r>
      <w:r w:rsidR="00B67229">
        <w:rPr>
          <w:noProof/>
          <w:sz w:val="22"/>
        </w:rPr>
        <w:t>utilize</w:t>
      </w:r>
      <w:r w:rsidR="006D41F8" w:rsidRPr="00C93F67">
        <w:rPr>
          <w:noProof/>
          <w:sz w:val="22"/>
        </w:rPr>
        <w:t xml:space="preserve"> a Random Forest approach </w:t>
      </w:r>
      <w:r w:rsidR="00B008B6" w:rsidRPr="00C93F67">
        <w:rPr>
          <w:noProof/>
          <w:sz w:val="22"/>
        </w:rPr>
        <w:t>based on</w:t>
      </w:r>
      <w:r w:rsidR="006D41F8" w:rsidRPr="00C93F67">
        <w:rPr>
          <w:noProof/>
          <w:sz w:val="22"/>
        </w:rPr>
        <w:t xml:space="preserve"> </w:t>
      </w:r>
      <w:r w:rsidR="00892C70">
        <w:rPr>
          <w:noProof/>
          <w:sz w:val="22"/>
        </w:rPr>
        <w:t xml:space="preserve">seasonal forecast </w:t>
      </w:r>
      <w:r w:rsidR="006D41F8" w:rsidRPr="00C93F67">
        <w:rPr>
          <w:noProof/>
          <w:sz w:val="22"/>
        </w:rPr>
        <w:t xml:space="preserve">data from </w:t>
      </w:r>
      <w:r>
        <w:rPr>
          <w:noProof/>
          <w:sz w:val="22"/>
        </w:rPr>
        <w:t xml:space="preserve">the </w:t>
      </w:r>
      <w:r w:rsidRPr="00C93F67">
        <w:rPr>
          <w:noProof/>
          <w:sz w:val="22"/>
        </w:rPr>
        <w:t>European Centre for Medium-Range Weather Forecasts (</w:t>
      </w:r>
      <w:r w:rsidR="006D41F8" w:rsidRPr="00C93F67">
        <w:rPr>
          <w:noProof/>
          <w:sz w:val="22"/>
        </w:rPr>
        <w:t>ECMWF</w:t>
      </w:r>
      <w:r>
        <w:rPr>
          <w:noProof/>
          <w:sz w:val="22"/>
        </w:rPr>
        <w:t>)</w:t>
      </w:r>
      <w:r w:rsidR="006D41F8" w:rsidRPr="00C93F67">
        <w:rPr>
          <w:noProof/>
          <w:sz w:val="22"/>
        </w:rPr>
        <w:t>. We u</w:t>
      </w:r>
      <w:r w:rsidR="007224E5">
        <w:rPr>
          <w:noProof/>
          <w:sz w:val="22"/>
        </w:rPr>
        <w:t>se</w:t>
      </w:r>
      <w:r w:rsidR="006D41F8" w:rsidRPr="00C93F67">
        <w:rPr>
          <w:noProof/>
          <w:sz w:val="22"/>
        </w:rPr>
        <w:t xml:space="preserve"> </w:t>
      </w:r>
      <w:r w:rsidR="00892C70">
        <w:rPr>
          <w:noProof/>
          <w:sz w:val="22"/>
        </w:rPr>
        <w:t xml:space="preserve">the </w:t>
      </w:r>
      <w:r w:rsidR="006D41F8" w:rsidRPr="00C93F67">
        <w:rPr>
          <w:noProof/>
          <w:sz w:val="22"/>
        </w:rPr>
        <w:t>forecast</w:t>
      </w:r>
      <w:r w:rsidR="00A56367">
        <w:rPr>
          <w:noProof/>
          <w:sz w:val="22"/>
        </w:rPr>
        <w:t xml:space="preserve"> </w:t>
      </w:r>
      <w:r w:rsidR="006D41F8" w:rsidRPr="00C93F67">
        <w:rPr>
          <w:noProof/>
          <w:sz w:val="22"/>
        </w:rPr>
        <w:t>July/August/September</w:t>
      </w:r>
      <w:r w:rsidR="00B008B6" w:rsidRPr="00C93F67">
        <w:rPr>
          <w:noProof/>
          <w:sz w:val="22"/>
        </w:rPr>
        <w:t xml:space="preserve"> tropical Atlantic </w:t>
      </w:r>
      <w:r w:rsidR="006D41F8" w:rsidRPr="00C93F67">
        <w:rPr>
          <w:noProof/>
          <w:sz w:val="22"/>
        </w:rPr>
        <w:t>area-averaged sea surface temperatures</w:t>
      </w:r>
      <w:r w:rsidR="00734E3A" w:rsidRPr="00C93F67">
        <w:rPr>
          <w:noProof/>
          <w:sz w:val="22"/>
        </w:rPr>
        <w:t xml:space="preserve"> (SSTs)</w:t>
      </w:r>
      <w:r w:rsidR="00B008B6" w:rsidRPr="00C93F67">
        <w:rPr>
          <w:noProof/>
          <w:sz w:val="22"/>
        </w:rPr>
        <w:t xml:space="preserve"> in the same region </w:t>
      </w:r>
      <w:r w:rsidR="00734E3A" w:rsidRPr="00C93F67">
        <w:rPr>
          <w:noProof/>
          <w:sz w:val="22"/>
        </w:rPr>
        <w:t>used in our June predictions</w:t>
      </w:r>
      <w:r w:rsidR="00C93F67">
        <w:rPr>
          <w:noProof/>
          <w:sz w:val="22"/>
        </w:rPr>
        <w:t xml:space="preserve"> (Davis, Zeng, and Ritchie 2015</w:t>
      </w:r>
      <w:r w:rsidR="0073321B" w:rsidRPr="00C93F67">
        <w:rPr>
          <w:noProof/>
          <w:sz w:val="22"/>
        </w:rPr>
        <w:t>;</w:t>
      </w:r>
      <w:r w:rsidR="00734E3A" w:rsidRPr="00C93F67">
        <w:rPr>
          <w:noProof/>
          <w:sz w:val="22"/>
        </w:rPr>
        <w:t xml:space="preserve"> Davis and Zeng 2019)</w:t>
      </w:r>
      <w:r w:rsidR="006D41F8" w:rsidRPr="00C93F67">
        <w:rPr>
          <w:noProof/>
          <w:sz w:val="22"/>
        </w:rPr>
        <w:t xml:space="preserve"> as well as </w:t>
      </w:r>
      <w:r w:rsidR="00734E3A" w:rsidRPr="00C93F67">
        <w:rPr>
          <w:noProof/>
          <w:sz w:val="22"/>
        </w:rPr>
        <w:t>August/September area-averaged SSTs in the Nino 3.4 region.</w:t>
      </w:r>
      <w:r w:rsidR="00D76A30">
        <w:rPr>
          <w:rFonts w:hint="eastAsia"/>
          <w:noProof/>
          <w:sz w:val="22"/>
        </w:rPr>
        <w:t xml:space="preserve"> </w:t>
      </w:r>
      <w:r w:rsidR="001E671F" w:rsidRPr="00C93F67">
        <w:rPr>
          <w:noProof/>
          <w:sz w:val="22"/>
        </w:rPr>
        <w:t xml:space="preserve">Our method uses 25 </w:t>
      </w:r>
      <w:r w:rsidR="00892C70">
        <w:rPr>
          <w:noProof/>
          <w:sz w:val="22"/>
        </w:rPr>
        <w:t xml:space="preserve">ensemble </w:t>
      </w:r>
      <w:r w:rsidR="001E671F" w:rsidRPr="00C93F67">
        <w:rPr>
          <w:noProof/>
          <w:sz w:val="22"/>
        </w:rPr>
        <w:t xml:space="preserve">members </w:t>
      </w:r>
      <w:r w:rsidR="00892C70">
        <w:rPr>
          <w:noProof/>
          <w:sz w:val="22"/>
        </w:rPr>
        <w:t>from</w:t>
      </w:r>
      <w:r w:rsidR="001E671F" w:rsidRPr="00C93F67">
        <w:rPr>
          <w:noProof/>
          <w:sz w:val="22"/>
        </w:rPr>
        <w:t xml:space="preserve"> 19</w:t>
      </w:r>
      <w:r w:rsidR="00BD4668">
        <w:rPr>
          <w:noProof/>
          <w:sz w:val="22"/>
        </w:rPr>
        <w:t>81</w:t>
      </w:r>
      <w:r w:rsidR="001E671F" w:rsidRPr="00C93F67">
        <w:rPr>
          <w:noProof/>
          <w:sz w:val="22"/>
        </w:rPr>
        <w:t>-2</w:t>
      </w:r>
      <w:r w:rsidR="00836F2B">
        <w:rPr>
          <w:noProof/>
          <w:sz w:val="22"/>
        </w:rPr>
        <w:t>016</w:t>
      </w:r>
      <w:r w:rsidR="001E671F" w:rsidRPr="00C93F67">
        <w:rPr>
          <w:noProof/>
          <w:sz w:val="22"/>
        </w:rPr>
        <w:t xml:space="preserve"> and </w:t>
      </w:r>
      <w:r w:rsidR="00836F2B">
        <w:rPr>
          <w:noProof/>
          <w:sz w:val="22"/>
        </w:rPr>
        <w:t>51</w:t>
      </w:r>
      <w:r w:rsidR="001E671F" w:rsidRPr="00C93F67">
        <w:rPr>
          <w:noProof/>
          <w:sz w:val="22"/>
        </w:rPr>
        <w:t xml:space="preserve"> </w:t>
      </w:r>
      <w:r w:rsidR="00892C70">
        <w:rPr>
          <w:noProof/>
          <w:sz w:val="22"/>
        </w:rPr>
        <w:t xml:space="preserve">members </w:t>
      </w:r>
      <w:r w:rsidR="001E671F" w:rsidRPr="00C93F67">
        <w:rPr>
          <w:noProof/>
          <w:sz w:val="22"/>
        </w:rPr>
        <w:t>from 2017-20</w:t>
      </w:r>
      <w:r w:rsidR="00A56367">
        <w:rPr>
          <w:noProof/>
          <w:sz w:val="22"/>
        </w:rPr>
        <w:t>2</w:t>
      </w:r>
      <w:r w:rsidR="00825630">
        <w:rPr>
          <w:noProof/>
          <w:sz w:val="22"/>
        </w:rPr>
        <w:t>4</w:t>
      </w:r>
      <w:r w:rsidR="001E671F" w:rsidRPr="00C93F67">
        <w:rPr>
          <w:noProof/>
          <w:sz w:val="22"/>
        </w:rPr>
        <w:t xml:space="preserve">. </w:t>
      </w:r>
      <w:r w:rsidR="00D76A30">
        <w:rPr>
          <w:noProof/>
          <w:sz w:val="22"/>
        </w:rPr>
        <w:t>W</w:t>
      </w:r>
      <w:r w:rsidR="00937121" w:rsidRPr="00C93F67">
        <w:rPr>
          <w:noProof/>
          <w:sz w:val="22"/>
        </w:rPr>
        <w:t xml:space="preserve">e </w:t>
      </w:r>
      <w:r w:rsidR="00D76A30" w:rsidRPr="00C93F67">
        <w:rPr>
          <w:noProof/>
          <w:sz w:val="22"/>
        </w:rPr>
        <w:t xml:space="preserve">calibrate the model </w:t>
      </w:r>
      <w:r w:rsidR="00937121" w:rsidRPr="00C93F67">
        <w:rPr>
          <w:noProof/>
          <w:sz w:val="22"/>
        </w:rPr>
        <w:t>us</w:t>
      </w:r>
      <w:r w:rsidR="00D76A30">
        <w:rPr>
          <w:noProof/>
          <w:sz w:val="22"/>
        </w:rPr>
        <w:t>ing</w:t>
      </w:r>
      <w:r w:rsidR="00937121" w:rsidRPr="00C93F67">
        <w:rPr>
          <w:noProof/>
          <w:sz w:val="22"/>
        </w:rPr>
        <w:t xml:space="preserve"> data from </w:t>
      </w:r>
      <w:r w:rsidR="00FF287F" w:rsidRPr="00C93F67">
        <w:rPr>
          <w:noProof/>
          <w:sz w:val="22"/>
        </w:rPr>
        <w:t>19</w:t>
      </w:r>
      <w:r w:rsidR="00DF4AC6">
        <w:rPr>
          <w:noProof/>
          <w:sz w:val="22"/>
        </w:rPr>
        <w:t>8</w:t>
      </w:r>
      <w:r w:rsidR="00BD4668">
        <w:rPr>
          <w:noProof/>
          <w:sz w:val="22"/>
        </w:rPr>
        <w:t>1</w:t>
      </w:r>
      <w:r w:rsidR="00FF287F" w:rsidRPr="00C93F67">
        <w:rPr>
          <w:noProof/>
          <w:sz w:val="22"/>
        </w:rPr>
        <w:t xml:space="preserve"> to 200</w:t>
      </w:r>
      <w:r w:rsidR="00C22FE5">
        <w:rPr>
          <w:noProof/>
          <w:sz w:val="22"/>
        </w:rPr>
        <w:t>7</w:t>
      </w:r>
      <w:r w:rsidR="00D76A30">
        <w:rPr>
          <w:noProof/>
          <w:sz w:val="22"/>
        </w:rPr>
        <w:t>:</w:t>
      </w:r>
      <w:r w:rsidR="00C466BF" w:rsidRPr="00C93F67">
        <w:rPr>
          <w:noProof/>
          <w:sz w:val="22"/>
        </w:rPr>
        <w:t xml:space="preserve"> we first train </w:t>
      </w:r>
      <w:r w:rsidR="00C76446">
        <w:rPr>
          <w:noProof/>
          <w:sz w:val="22"/>
        </w:rPr>
        <w:t xml:space="preserve">the model on </w:t>
      </w:r>
      <w:r w:rsidR="00C76446" w:rsidRPr="00C93F67">
        <w:rPr>
          <w:noProof/>
          <w:sz w:val="22"/>
        </w:rPr>
        <w:t xml:space="preserve">the </w:t>
      </w:r>
      <w:r w:rsidR="00C76446">
        <w:rPr>
          <w:noProof/>
          <w:sz w:val="22"/>
        </w:rPr>
        <w:t xml:space="preserve">first </w:t>
      </w:r>
      <w:r w:rsidR="00C4641C">
        <w:rPr>
          <w:noProof/>
          <w:sz w:val="22"/>
        </w:rPr>
        <w:t xml:space="preserve">ensemble </w:t>
      </w:r>
      <w:r w:rsidR="00C76446">
        <w:rPr>
          <w:noProof/>
          <w:sz w:val="22"/>
        </w:rPr>
        <w:t>member (from</w:t>
      </w:r>
      <w:r w:rsidR="00C76446" w:rsidRPr="00C93F67">
        <w:rPr>
          <w:noProof/>
          <w:sz w:val="22"/>
        </w:rPr>
        <w:t xml:space="preserve"> </w:t>
      </w:r>
      <w:r w:rsidR="00C466BF" w:rsidRPr="00C93F67">
        <w:rPr>
          <w:noProof/>
          <w:sz w:val="22"/>
        </w:rPr>
        <w:t xml:space="preserve">the </w:t>
      </w:r>
      <w:r w:rsidR="00C76446">
        <w:rPr>
          <w:noProof/>
          <w:sz w:val="22"/>
        </w:rPr>
        <w:t xml:space="preserve">model </w:t>
      </w:r>
      <w:r w:rsidR="00C466BF" w:rsidRPr="00C93F67">
        <w:rPr>
          <w:noProof/>
          <w:sz w:val="22"/>
        </w:rPr>
        <w:t>control run</w:t>
      </w:r>
      <w:r w:rsidR="00C76446">
        <w:rPr>
          <w:noProof/>
          <w:sz w:val="22"/>
        </w:rPr>
        <w:t>)</w:t>
      </w:r>
      <w:r w:rsidR="00C466BF" w:rsidRPr="00C93F67">
        <w:rPr>
          <w:noProof/>
          <w:sz w:val="22"/>
        </w:rPr>
        <w:t xml:space="preserve"> on all data from 19</w:t>
      </w:r>
      <w:r w:rsidR="00312ACC">
        <w:rPr>
          <w:noProof/>
          <w:sz w:val="22"/>
        </w:rPr>
        <w:t>8</w:t>
      </w:r>
      <w:r w:rsidR="00BD4668">
        <w:rPr>
          <w:noProof/>
          <w:sz w:val="22"/>
        </w:rPr>
        <w:t>1</w:t>
      </w:r>
      <w:r w:rsidR="00C466BF" w:rsidRPr="00C93F67">
        <w:rPr>
          <w:noProof/>
          <w:sz w:val="22"/>
        </w:rPr>
        <w:t xml:space="preserve"> to 200</w:t>
      </w:r>
      <w:r w:rsidR="00C22FE5">
        <w:rPr>
          <w:noProof/>
          <w:sz w:val="22"/>
        </w:rPr>
        <w:t>7</w:t>
      </w:r>
      <w:r w:rsidR="00DD075C">
        <w:rPr>
          <w:noProof/>
          <w:sz w:val="22"/>
        </w:rPr>
        <w:t>,</w:t>
      </w:r>
      <w:r w:rsidR="00C466BF" w:rsidRPr="00C93F67">
        <w:rPr>
          <w:noProof/>
          <w:sz w:val="22"/>
        </w:rPr>
        <w:t xml:space="preserve"> </w:t>
      </w:r>
      <w:r w:rsidR="00C76446">
        <w:rPr>
          <w:noProof/>
          <w:sz w:val="22"/>
        </w:rPr>
        <w:t>use</w:t>
      </w:r>
      <w:r w:rsidR="0038403B">
        <w:rPr>
          <w:noProof/>
          <w:sz w:val="22"/>
        </w:rPr>
        <w:t xml:space="preserve"> that model</w:t>
      </w:r>
      <w:r w:rsidR="00C466BF" w:rsidRPr="00C93F67">
        <w:rPr>
          <w:noProof/>
          <w:sz w:val="22"/>
        </w:rPr>
        <w:t xml:space="preserve"> to predict for the other members </w:t>
      </w:r>
      <w:r w:rsidR="00695EC6">
        <w:rPr>
          <w:noProof/>
          <w:sz w:val="22"/>
        </w:rPr>
        <w:t>over the same time period</w:t>
      </w:r>
      <w:r w:rsidR="00DD075C">
        <w:rPr>
          <w:noProof/>
          <w:sz w:val="22"/>
        </w:rPr>
        <w:t>,</w:t>
      </w:r>
      <w:r w:rsidR="00C76446">
        <w:rPr>
          <w:noProof/>
          <w:sz w:val="22"/>
        </w:rPr>
        <w:t xml:space="preserve"> and</w:t>
      </w:r>
      <w:r w:rsidR="00C466BF" w:rsidRPr="00C93F67">
        <w:rPr>
          <w:noProof/>
          <w:sz w:val="22"/>
        </w:rPr>
        <w:t xml:space="preserve"> </w:t>
      </w:r>
      <w:r w:rsidR="00C76446" w:rsidRPr="00C93F67">
        <w:rPr>
          <w:noProof/>
          <w:sz w:val="22"/>
        </w:rPr>
        <w:t xml:space="preserve">average predictions </w:t>
      </w:r>
      <w:r w:rsidR="00C76446">
        <w:rPr>
          <w:noProof/>
          <w:sz w:val="22"/>
        </w:rPr>
        <w:t xml:space="preserve">from </w:t>
      </w:r>
      <w:r w:rsidR="00C76446" w:rsidRPr="00C93F67">
        <w:rPr>
          <w:noProof/>
          <w:sz w:val="22"/>
        </w:rPr>
        <w:t>all member</w:t>
      </w:r>
      <w:r w:rsidR="00C76446">
        <w:rPr>
          <w:noProof/>
          <w:sz w:val="22"/>
        </w:rPr>
        <w:t>s</w:t>
      </w:r>
      <w:r w:rsidR="00C76446" w:rsidRPr="00C93F67">
        <w:rPr>
          <w:noProof/>
          <w:sz w:val="22"/>
        </w:rPr>
        <w:t xml:space="preserve"> as our prediction</w:t>
      </w:r>
      <w:r w:rsidR="00C76446">
        <w:rPr>
          <w:noProof/>
          <w:sz w:val="22"/>
        </w:rPr>
        <w:t xml:space="preserve"> for that year. </w:t>
      </w:r>
      <w:r w:rsidR="00D76A30">
        <w:rPr>
          <w:noProof/>
          <w:sz w:val="22"/>
        </w:rPr>
        <w:t>Then we</w:t>
      </w:r>
      <w:r w:rsidR="00D76A30" w:rsidRPr="00C93F67">
        <w:rPr>
          <w:noProof/>
          <w:sz w:val="22"/>
        </w:rPr>
        <w:t xml:space="preserve"> </w:t>
      </w:r>
      <w:r w:rsidR="00D76A30">
        <w:rPr>
          <w:noProof/>
          <w:sz w:val="22"/>
        </w:rPr>
        <w:t xml:space="preserve">validate the model using data from </w:t>
      </w:r>
      <w:r w:rsidR="00D76A30" w:rsidRPr="00C93F67">
        <w:rPr>
          <w:noProof/>
          <w:sz w:val="22"/>
        </w:rPr>
        <w:t>200</w:t>
      </w:r>
      <w:r w:rsidR="00695EC6">
        <w:rPr>
          <w:noProof/>
          <w:sz w:val="22"/>
        </w:rPr>
        <w:t>8</w:t>
      </w:r>
      <w:r w:rsidR="00D76A30" w:rsidRPr="00C93F67">
        <w:rPr>
          <w:noProof/>
          <w:sz w:val="22"/>
        </w:rPr>
        <w:t xml:space="preserve"> to 20</w:t>
      </w:r>
      <w:r w:rsidR="00A56367">
        <w:rPr>
          <w:noProof/>
          <w:sz w:val="22"/>
        </w:rPr>
        <w:t>2</w:t>
      </w:r>
      <w:r w:rsidR="00A560B9">
        <w:rPr>
          <w:noProof/>
          <w:sz w:val="22"/>
        </w:rPr>
        <w:t>3</w:t>
      </w:r>
      <w:r w:rsidR="00D76A30" w:rsidRPr="00C93F67">
        <w:rPr>
          <w:noProof/>
          <w:sz w:val="22"/>
        </w:rPr>
        <w:t xml:space="preserve"> in </w:t>
      </w:r>
      <w:r w:rsidR="00D76A30">
        <w:rPr>
          <w:noProof/>
          <w:sz w:val="22"/>
        </w:rPr>
        <w:t>“</w:t>
      </w:r>
      <w:r w:rsidR="00D76A30" w:rsidRPr="00C93F67">
        <w:rPr>
          <w:noProof/>
          <w:sz w:val="22"/>
        </w:rPr>
        <w:t>real time</w:t>
      </w:r>
      <w:r w:rsidR="00D76A30">
        <w:rPr>
          <w:noProof/>
          <w:sz w:val="22"/>
        </w:rPr>
        <w:t>”</w:t>
      </w:r>
      <w:r w:rsidR="00D76A30" w:rsidRPr="00C93F67">
        <w:rPr>
          <w:noProof/>
          <w:sz w:val="22"/>
        </w:rPr>
        <w:t xml:space="preserve"> (for example, for 2015, we would </w:t>
      </w:r>
      <w:r w:rsidR="00382610">
        <w:rPr>
          <w:noProof/>
          <w:sz w:val="22"/>
        </w:rPr>
        <w:t>train</w:t>
      </w:r>
      <w:r w:rsidR="00D76A30" w:rsidRPr="00C93F67">
        <w:rPr>
          <w:noProof/>
          <w:sz w:val="22"/>
        </w:rPr>
        <w:t xml:space="preserve"> the model using data from 19</w:t>
      </w:r>
      <w:r w:rsidR="00BD4668">
        <w:rPr>
          <w:noProof/>
          <w:sz w:val="22"/>
        </w:rPr>
        <w:t>81</w:t>
      </w:r>
      <w:r w:rsidR="00D76A30" w:rsidRPr="00C93F67">
        <w:rPr>
          <w:noProof/>
          <w:sz w:val="22"/>
        </w:rPr>
        <w:t xml:space="preserve"> to 2014 and use the 2015 </w:t>
      </w:r>
      <w:r w:rsidR="00303B54">
        <w:rPr>
          <w:noProof/>
          <w:sz w:val="22"/>
        </w:rPr>
        <w:t xml:space="preserve">SST </w:t>
      </w:r>
      <w:r w:rsidR="00D76A30" w:rsidRPr="00C93F67">
        <w:rPr>
          <w:noProof/>
          <w:sz w:val="22"/>
        </w:rPr>
        <w:t>data to make a prediction for 2015).</w:t>
      </w:r>
      <w:r w:rsidR="00D76A30">
        <w:rPr>
          <w:noProof/>
          <w:sz w:val="22"/>
        </w:rPr>
        <w:t xml:space="preserve"> </w:t>
      </w:r>
    </w:p>
    <w:p w14:paraId="15C16A40" w14:textId="4BB35E55" w:rsidR="00D76A30" w:rsidRDefault="00171D54" w:rsidP="00057BE1">
      <w:pPr>
        <w:spacing w:after="160"/>
        <w:rPr>
          <w:noProof/>
          <w:sz w:val="22"/>
          <w:szCs w:val="22"/>
        </w:rPr>
      </w:pPr>
      <w:r>
        <w:rPr>
          <w:noProof/>
          <w:sz w:val="22"/>
          <w:szCs w:val="22"/>
        </w:rPr>
        <w:t>Table</w:t>
      </w:r>
      <w:r w:rsidR="1819A382" w:rsidRPr="1819A382">
        <w:rPr>
          <w:noProof/>
          <w:sz w:val="22"/>
          <w:szCs w:val="22"/>
        </w:rPr>
        <w:t xml:space="preserve"> </w:t>
      </w:r>
      <w:r w:rsidR="00B20855">
        <w:rPr>
          <w:noProof/>
          <w:sz w:val="22"/>
          <w:szCs w:val="22"/>
        </w:rPr>
        <w:t>2</w:t>
      </w:r>
      <w:r w:rsidR="1819A382" w:rsidRPr="1819A382">
        <w:rPr>
          <w:noProof/>
          <w:sz w:val="22"/>
          <w:szCs w:val="22"/>
        </w:rPr>
        <w:t xml:space="preserve"> compares our model’s performance during the calibration and validation periods against the 5-year running average, or a no-skill metric</w:t>
      </w:r>
      <w:r w:rsidR="00E26D31">
        <w:rPr>
          <w:noProof/>
          <w:sz w:val="22"/>
          <w:szCs w:val="22"/>
        </w:rPr>
        <w:t xml:space="preserve">. The model outperforms the no-skill category </w:t>
      </w:r>
      <w:r w:rsidR="00433B2C">
        <w:rPr>
          <w:noProof/>
          <w:sz w:val="22"/>
          <w:szCs w:val="22"/>
        </w:rPr>
        <w:t xml:space="preserve">in all </w:t>
      </w:r>
      <w:r w:rsidR="00E26D31">
        <w:rPr>
          <w:noProof/>
          <w:sz w:val="22"/>
          <w:szCs w:val="22"/>
        </w:rPr>
        <w:t>variables</w:t>
      </w:r>
      <w:r w:rsidR="001A51B1">
        <w:rPr>
          <w:noProof/>
          <w:sz w:val="22"/>
          <w:szCs w:val="22"/>
        </w:rPr>
        <w:t xml:space="preserve">. </w:t>
      </w:r>
      <w:r w:rsidR="1819A382" w:rsidRPr="1819A382">
        <w:rPr>
          <w:noProof/>
          <w:sz w:val="22"/>
          <w:szCs w:val="22"/>
        </w:rPr>
        <w:t xml:space="preserve"> </w:t>
      </w:r>
    </w:p>
    <w:p w14:paraId="4B02F7F9" w14:textId="4964ED1F" w:rsidR="00C633C7" w:rsidRDefault="00C633C7" w:rsidP="00C633C7">
      <w:pPr>
        <w:spacing w:after="160"/>
        <w:rPr>
          <w:noProof/>
          <w:sz w:val="22"/>
        </w:rPr>
      </w:pPr>
      <w:r>
        <w:rPr>
          <w:noProof/>
          <w:sz w:val="22"/>
        </w:rPr>
        <w:t>Sea surface temperatures were boiling in 2023, but a strong El Niño counteracted what could have been a very intense season</w:t>
      </w:r>
      <w:r w:rsidR="00C42322">
        <w:rPr>
          <w:noProof/>
          <w:sz w:val="22"/>
        </w:rPr>
        <w:t xml:space="preserve"> last year</w:t>
      </w:r>
      <w:r>
        <w:rPr>
          <w:noProof/>
          <w:sz w:val="22"/>
        </w:rPr>
        <w:t>. This year, we are seeing forecast</w:t>
      </w:r>
      <w:r w:rsidR="00C42322">
        <w:rPr>
          <w:noProof/>
          <w:sz w:val="22"/>
        </w:rPr>
        <w:t>ed</w:t>
      </w:r>
      <w:r>
        <w:rPr>
          <w:noProof/>
          <w:sz w:val="22"/>
        </w:rPr>
        <w:t xml:space="preserve"> sea surface temperatures during peak season even higher than last year</w:t>
      </w:r>
      <w:r w:rsidR="00E266EC">
        <w:rPr>
          <w:noProof/>
          <w:sz w:val="22"/>
        </w:rPr>
        <w:t>,</w:t>
      </w:r>
      <w:r>
        <w:rPr>
          <w:noProof/>
          <w:sz w:val="22"/>
        </w:rPr>
        <w:t xml:space="preserve"> according to </w:t>
      </w:r>
      <w:r w:rsidRPr="00C93F67">
        <w:rPr>
          <w:noProof/>
          <w:sz w:val="22"/>
        </w:rPr>
        <w:t xml:space="preserve">ECMWF. </w:t>
      </w:r>
      <w:r>
        <w:rPr>
          <w:noProof/>
          <w:sz w:val="22"/>
        </w:rPr>
        <w:t xml:space="preserve"> ENSO will be trending towards neutral, possibly La Niña, which will be the major difference</w:t>
      </w:r>
      <w:r w:rsidR="00E266EC">
        <w:rPr>
          <w:noProof/>
          <w:sz w:val="22"/>
        </w:rPr>
        <w:t xml:space="preserve"> from</w:t>
      </w:r>
      <w:r>
        <w:rPr>
          <w:noProof/>
          <w:sz w:val="22"/>
        </w:rPr>
        <w:t xml:space="preserve"> last year. </w:t>
      </w:r>
    </w:p>
    <w:p w14:paraId="1565C287" w14:textId="453C788E" w:rsidR="00E13B81" w:rsidRDefault="00E13B81" w:rsidP="00057BE1">
      <w:pPr>
        <w:spacing w:after="160"/>
        <w:rPr>
          <w:noProof/>
          <w:sz w:val="22"/>
          <w:szCs w:val="22"/>
        </w:rPr>
      </w:pPr>
      <w:r>
        <w:rPr>
          <w:noProof/>
          <w:sz w:val="22"/>
        </w:rPr>
        <w:t xml:space="preserve">For our April forecast, we expect </w:t>
      </w:r>
      <w:r w:rsidR="005E5125">
        <w:rPr>
          <w:noProof/>
          <w:sz w:val="22"/>
        </w:rPr>
        <w:t>an active season</w:t>
      </w:r>
      <w:r>
        <w:rPr>
          <w:noProof/>
          <w:sz w:val="22"/>
        </w:rPr>
        <w:t xml:space="preserve"> over the North Atlantic</w:t>
      </w:r>
      <w:r w:rsidR="00610F92">
        <w:rPr>
          <w:noProof/>
          <w:sz w:val="22"/>
        </w:rPr>
        <w:t>. T</w:t>
      </w:r>
      <w:r w:rsidR="00610F92">
        <w:rPr>
          <w:noProof/>
          <w:sz w:val="22"/>
          <w:szCs w:val="22"/>
        </w:rPr>
        <w:t xml:space="preserve">ropical Atlantic SSTs are forecast to be </w:t>
      </w:r>
      <w:r w:rsidR="005E5125">
        <w:rPr>
          <w:noProof/>
          <w:sz w:val="22"/>
          <w:szCs w:val="22"/>
        </w:rPr>
        <w:t xml:space="preserve">the highest </w:t>
      </w:r>
      <w:r w:rsidR="003E70C3">
        <w:rPr>
          <w:noProof/>
          <w:sz w:val="22"/>
          <w:szCs w:val="22"/>
        </w:rPr>
        <w:t>in our dataset</w:t>
      </w:r>
      <w:r w:rsidR="00F61F5D">
        <w:rPr>
          <w:noProof/>
          <w:sz w:val="22"/>
          <w:szCs w:val="22"/>
        </w:rPr>
        <w:t>. Fo</w:t>
      </w:r>
      <w:r w:rsidR="00610F92">
        <w:rPr>
          <w:noProof/>
          <w:sz w:val="22"/>
          <w:szCs w:val="22"/>
        </w:rPr>
        <w:t>r the Ni</w:t>
      </w:r>
      <w:r w:rsidR="001B79BF">
        <w:rPr>
          <w:noProof/>
          <w:sz w:val="22"/>
        </w:rPr>
        <w:t>ñ</w:t>
      </w:r>
      <w:r w:rsidR="00610F92">
        <w:rPr>
          <w:noProof/>
          <w:sz w:val="22"/>
          <w:szCs w:val="22"/>
        </w:rPr>
        <w:t xml:space="preserve">o 3.4 region, forecast SSTs are </w:t>
      </w:r>
      <w:r w:rsidR="00D751A1">
        <w:rPr>
          <w:noProof/>
          <w:sz w:val="22"/>
          <w:szCs w:val="22"/>
        </w:rPr>
        <w:t>somewhat cooler than average</w:t>
      </w:r>
      <w:r w:rsidR="0086482C">
        <w:rPr>
          <w:noProof/>
          <w:sz w:val="22"/>
          <w:szCs w:val="22"/>
        </w:rPr>
        <w:t xml:space="preserve">, which </w:t>
      </w:r>
      <w:r w:rsidR="006250DB">
        <w:rPr>
          <w:noProof/>
          <w:sz w:val="22"/>
          <w:szCs w:val="22"/>
        </w:rPr>
        <w:t>at least should not inhibit activities</w:t>
      </w:r>
      <w:r w:rsidR="00610F92">
        <w:rPr>
          <w:noProof/>
          <w:sz w:val="22"/>
          <w:szCs w:val="22"/>
        </w:rPr>
        <w:t>.</w:t>
      </w:r>
      <w:r w:rsidR="003E70C3">
        <w:rPr>
          <w:noProof/>
          <w:sz w:val="22"/>
          <w:szCs w:val="22"/>
        </w:rPr>
        <w:t xml:space="preserve"> Storms should form easily and often this year.</w:t>
      </w:r>
      <w:r w:rsidR="005E7830">
        <w:rPr>
          <w:noProof/>
          <w:sz w:val="22"/>
          <w:szCs w:val="22"/>
        </w:rPr>
        <w:t xml:space="preserve"> </w:t>
      </w:r>
    </w:p>
    <w:tbl>
      <w:tblPr>
        <w:tblW w:w="6552" w:type="dxa"/>
        <w:tblInd w:w="108" w:type="dxa"/>
        <w:tblLook w:val="04A0" w:firstRow="1" w:lastRow="0" w:firstColumn="1" w:lastColumn="0" w:noHBand="0" w:noVBand="1"/>
      </w:tblPr>
      <w:tblGrid>
        <w:gridCol w:w="1872"/>
        <w:gridCol w:w="1440"/>
        <w:gridCol w:w="1710"/>
        <w:gridCol w:w="1530"/>
      </w:tblGrid>
      <w:tr w:rsidR="00E13B81" w:rsidRPr="007746B3" w14:paraId="235105E0" w14:textId="77777777" w:rsidTr="00B57A9D">
        <w:trPr>
          <w:trHeight w:val="29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6A77" w14:textId="77777777" w:rsidR="00E13B81" w:rsidRPr="00B57A9D" w:rsidRDefault="00E13B81" w:rsidP="00802D85">
            <w:pPr>
              <w:rPr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544A1" w14:textId="4F45621B" w:rsidR="00E13B81" w:rsidRPr="00B57A9D" w:rsidRDefault="00E13B81" w:rsidP="00802D85">
            <w:pPr>
              <w:jc w:val="center"/>
              <w:rPr>
                <w:color w:val="000000"/>
                <w:sz w:val="22"/>
              </w:rPr>
            </w:pPr>
            <w:r w:rsidRPr="00B57A9D">
              <w:rPr>
                <w:color w:val="000000"/>
                <w:sz w:val="22"/>
              </w:rPr>
              <w:t>20</w:t>
            </w:r>
            <w:r w:rsidR="0096334E" w:rsidRPr="00B57A9D">
              <w:rPr>
                <w:color w:val="000000"/>
                <w:sz w:val="22"/>
              </w:rPr>
              <w:t>2</w:t>
            </w:r>
            <w:r w:rsidR="001B79BF">
              <w:rPr>
                <w:color w:val="000000"/>
                <w:sz w:val="22"/>
              </w:rPr>
              <w:t>4</w:t>
            </w:r>
            <w:r w:rsidRPr="00B57A9D">
              <w:rPr>
                <w:color w:val="000000"/>
                <w:sz w:val="22"/>
              </w:rPr>
              <w:t xml:space="preserve"> Prediction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68F76" w14:textId="4A71B2BA" w:rsidR="00E13B81" w:rsidRPr="00B57A9D" w:rsidRDefault="00E13B81" w:rsidP="00802D85">
            <w:pPr>
              <w:jc w:val="center"/>
              <w:rPr>
                <w:color w:val="000000"/>
                <w:sz w:val="22"/>
              </w:rPr>
            </w:pPr>
            <w:r w:rsidRPr="00B57A9D">
              <w:rPr>
                <w:color w:val="000000"/>
                <w:sz w:val="22"/>
              </w:rPr>
              <w:t>Probability Range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A5378" w14:textId="77777777" w:rsidR="00E13B81" w:rsidRPr="00B57A9D" w:rsidRDefault="00E13B81" w:rsidP="00802D85">
            <w:pPr>
              <w:jc w:val="center"/>
              <w:rPr>
                <w:color w:val="000000"/>
                <w:sz w:val="22"/>
              </w:rPr>
            </w:pPr>
            <w:r w:rsidRPr="00B57A9D">
              <w:rPr>
                <w:color w:val="000000"/>
                <w:sz w:val="22"/>
              </w:rPr>
              <w:t>Median Since 1980</w:t>
            </w:r>
          </w:p>
        </w:tc>
      </w:tr>
      <w:tr w:rsidR="00E13B81" w:rsidRPr="007746B3" w14:paraId="5BC483DE" w14:textId="77777777" w:rsidTr="00B57A9D">
        <w:trPr>
          <w:trHeight w:val="29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B2FB3" w14:textId="77777777" w:rsidR="00E13B81" w:rsidRPr="00B57A9D" w:rsidRDefault="00E13B81" w:rsidP="00802D85">
            <w:pPr>
              <w:rPr>
                <w:color w:val="000000"/>
                <w:sz w:val="22"/>
              </w:rPr>
            </w:pPr>
            <w:r w:rsidRPr="00B57A9D">
              <w:rPr>
                <w:color w:val="000000"/>
                <w:sz w:val="22"/>
              </w:rPr>
              <w:t>Hurricanes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D140" w14:textId="3F2AC62E" w:rsidR="00E13B81" w:rsidRPr="003E6162" w:rsidRDefault="00A81950" w:rsidP="00802D85">
            <w:pPr>
              <w:jc w:val="center"/>
              <w:rPr>
                <w:sz w:val="22"/>
              </w:rPr>
            </w:pPr>
            <w:r w:rsidRPr="003E6162">
              <w:rPr>
                <w:sz w:val="22"/>
              </w:rPr>
              <w:t>11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5B65" w14:textId="0355CA51" w:rsidR="00E13B81" w:rsidRPr="003E6162" w:rsidRDefault="0031080F" w:rsidP="00802D85">
            <w:pPr>
              <w:jc w:val="center"/>
              <w:rPr>
                <w:sz w:val="22"/>
              </w:rPr>
            </w:pPr>
            <w:r w:rsidRPr="003E6162">
              <w:rPr>
                <w:sz w:val="22"/>
              </w:rPr>
              <w:t>9</w:t>
            </w:r>
            <w:r w:rsidR="00415DD8" w:rsidRPr="003E6162">
              <w:rPr>
                <w:sz w:val="22"/>
              </w:rPr>
              <w:t>-</w:t>
            </w:r>
            <w:r w:rsidRPr="003E6162">
              <w:rPr>
                <w:sz w:val="22"/>
              </w:rPr>
              <w:t>13</w:t>
            </w:r>
            <w:r w:rsidR="001D3B91" w:rsidRPr="003E6162">
              <w:rPr>
                <w:sz w:val="22"/>
              </w:rPr>
              <w:t xml:space="preserve"> (</w:t>
            </w:r>
            <w:r w:rsidR="00CE5F66" w:rsidRPr="003E6162">
              <w:rPr>
                <w:sz w:val="22"/>
              </w:rPr>
              <w:t>6</w:t>
            </w:r>
            <w:r w:rsidR="002B68EE" w:rsidRPr="003E6162">
              <w:rPr>
                <w:sz w:val="22"/>
              </w:rPr>
              <w:t>5</w:t>
            </w:r>
            <w:r w:rsidR="001D3B91" w:rsidRPr="003E6162">
              <w:rPr>
                <w:sz w:val="22"/>
              </w:rPr>
              <w:t>%)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FEEAE" w14:textId="77777777" w:rsidR="00E13B81" w:rsidRPr="00B57A9D" w:rsidRDefault="00E13B81" w:rsidP="00802D85">
            <w:pPr>
              <w:jc w:val="center"/>
              <w:rPr>
                <w:sz w:val="22"/>
              </w:rPr>
            </w:pPr>
            <w:r w:rsidRPr="00B57A9D">
              <w:rPr>
                <w:sz w:val="22"/>
              </w:rPr>
              <w:t>7</w:t>
            </w:r>
          </w:p>
        </w:tc>
      </w:tr>
      <w:tr w:rsidR="00E13B81" w:rsidRPr="007746B3" w14:paraId="1056846F" w14:textId="77777777" w:rsidTr="00B57A9D">
        <w:trPr>
          <w:trHeight w:val="29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C2D4" w14:textId="77777777" w:rsidR="00E13B81" w:rsidRPr="00B57A9D" w:rsidRDefault="00E13B81" w:rsidP="00802D85">
            <w:pPr>
              <w:rPr>
                <w:color w:val="000000"/>
                <w:sz w:val="22"/>
              </w:rPr>
            </w:pPr>
            <w:r w:rsidRPr="00B57A9D">
              <w:rPr>
                <w:color w:val="000000"/>
                <w:sz w:val="22"/>
              </w:rPr>
              <w:t>Major Hurricanes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F710" w14:textId="10F715B4" w:rsidR="00E13B81" w:rsidRPr="003E6162" w:rsidRDefault="003E2B9A" w:rsidP="00802D85">
            <w:pPr>
              <w:jc w:val="center"/>
              <w:rPr>
                <w:sz w:val="22"/>
              </w:rPr>
            </w:pPr>
            <w:r w:rsidRPr="003E6162">
              <w:rPr>
                <w:sz w:val="22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F58E" w14:textId="2941B818" w:rsidR="00E13B81" w:rsidRPr="003E6162" w:rsidRDefault="003A6A5C" w:rsidP="00802D85">
            <w:pPr>
              <w:jc w:val="center"/>
              <w:rPr>
                <w:sz w:val="22"/>
              </w:rPr>
            </w:pPr>
            <w:r w:rsidRPr="003E6162">
              <w:rPr>
                <w:sz w:val="22"/>
              </w:rPr>
              <w:t>4</w:t>
            </w:r>
            <w:r w:rsidR="00F419E6" w:rsidRPr="003E6162">
              <w:rPr>
                <w:sz w:val="22"/>
              </w:rPr>
              <w:t>-6</w:t>
            </w:r>
            <w:r w:rsidR="002F04D3" w:rsidRPr="003E6162">
              <w:rPr>
                <w:sz w:val="22"/>
              </w:rPr>
              <w:t xml:space="preserve"> (</w:t>
            </w:r>
            <w:r w:rsidR="003D26C7" w:rsidRPr="003E6162">
              <w:rPr>
                <w:sz w:val="22"/>
              </w:rPr>
              <w:t>65</w:t>
            </w:r>
            <w:r w:rsidR="002F04D3" w:rsidRPr="003E6162">
              <w:rPr>
                <w:sz w:val="22"/>
              </w:rPr>
              <w:t>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3323" w14:textId="77777777" w:rsidR="00E13B81" w:rsidRPr="00B57A9D" w:rsidRDefault="00E13B81" w:rsidP="00802D85">
            <w:pPr>
              <w:jc w:val="center"/>
              <w:rPr>
                <w:sz w:val="22"/>
              </w:rPr>
            </w:pPr>
            <w:r w:rsidRPr="00B57A9D">
              <w:rPr>
                <w:sz w:val="22"/>
              </w:rPr>
              <w:t>2</w:t>
            </w:r>
          </w:p>
        </w:tc>
      </w:tr>
      <w:tr w:rsidR="00E13B81" w:rsidRPr="007746B3" w14:paraId="3AA91713" w14:textId="77777777" w:rsidTr="00B57A9D">
        <w:trPr>
          <w:trHeight w:val="29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4B12" w14:textId="06B668C9" w:rsidR="00E13B81" w:rsidRPr="00B57A9D" w:rsidRDefault="0096334E" w:rsidP="00802D85">
            <w:pPr>
              <w:rPr>
                <w:color w:val="000000"/>
                <w:sz w:val="22"/>
              </w:rPr>
            </w:pPr>
            <w:r w:rsidRPr="00B57A9D">
              <w:rPr>
                <w:color w:val="000000"/>
                <w:sz w:val="22"/>
              </w:rPr>
              <w:t>Named Storms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ECF1" w14:textId="7969B877" w:rsidR="00E13B81" w:rsidRPr="003E6162" w:rsidRDefault="00631107" w:rsidP="00802D85">
            <w:pPr>
              <w:jc w:val="center"/>
              <w:rPr>
                <w:sz w:val="22"/>
              </w:rPr>
            </w:pPr>
            <w:r w:rsidRPr="003E6162">
              <w:rPr>
                <w:sz w:val="22"/>
              </w:rPr>
              <w:t>21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DFF9" w14:textId="133832DA" w:rsidR="00E13B81" w:rsidRPr="003E6162" w:rsidRDefault="00D11C6F" w:rsidP="006B5FEA">
            <w:pPr>
              <w:jc w:val="center"/>
              <w:rPr>
                <w:sz w:val="22"/>
              </w:rPr>
            </w:pPr>
            <w:r w:rsidRPr="003E6162">
              <w:rPr>
                <w:sz w:val="22"/>
              </w:rPr>
              <w:t>18-24</w:t>
            </w:r>
            <w:r w:rsidR="002F04D3" w:rsidRPr="003E6162">
              <w:rPr>
                <w:sz w:val="22"/>
              </w:rPr>
              <w:t xml:space="preserve"> (</w:t>
            </w:r>
            <w:r w:rsidR="00D43CBA" w:rsidRPr="003E6162">
              <w:rPr>
                <w:sz w:val="22"/>
              </w:rPr>
              <w:t>67</w:t>
            </w:r>
            <w:r w:rsidR="002F04D3" w:rsidRPr="003E6162">
              <w:rPr>
                <w:sz w:val="22"/>
              </w:rPr>
              <w:t>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2833" w14:textId="069D7DC0" w:rsidR="00E13B81" w:rsidRPr="00B57A9D" w:rsidRDefault="00E13B81" w:rsidP="00802D85">
            <w:pPr>
              <w:jc w:val="center"/>
              <w:rPr>
                <w:sz w:val="22"/>
              </w:rPr>
            </w:pPr>
            <w:r w:rsidRPr="00B57A9D">
              <w:rPr>
                <w:sz w:val="22"/>
              </w:rPr>
              <w:t>1</w:t>
            </w:r>
            <w:r w:rsidR="006224BA">
              <w:rPr>
                <w:sz w:val="22"/>
              </w:rPr>
              <w:t>4</w:t>
            </w:r>
          </w:p>
        </w:tc>
      </w:tr>
      <w:tr w:rsidR="00E13B81" w:rsidRPr="007746B3" w14:paraId="1CBDD8E8" w14:textId="77777777" w:rsidTr="00B57A9D">
        <w:trPr>
          <w:trHeight w:val="29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71922" w14:textId="69260742" w:rsidR="00E13B81" w:rsidRPr="00B57A9D" w:rsidRDefault="0096334E" w:rsidP="00802D85">
            <w:pPr>
              <w:rPr>
                <w:color w:val="000000"/>
                <w:sz w:val="22"/>
              </w:rPr>
            </w:pPr>
            <w:r w:rsidRPr="00B57A9D">
              <w:rPr>
                <w:color w:val="000000"/>
                <w:sz w:val="22"/>
              </w:rPr>
              <w:t>ACE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BF009" w14:textId="68C07B98" w:rsidR="00E13B81" w:rsidRPr="003E6162" w:rsidRDefault="009F33CB" w:rsidP="00802D85">
            <w:pPr>
              <w:jc w:val="center"/>
              <w:rPr>
                <w:sz w:val="22"/>
              </w:rPr>
            </w:pPr>
            <w:r w:rsidRPr="003E6162">
              <w:rPr>
                <w:sz w:val="22"/>
              </w:rPr>
              <w:t>156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47C6F" w14:textId="59C04BB7" w:rsidR="00E13B81" w:rsidRPr="003E6162" w:rsidRDefault="00854982" w:rsidP="008006C3">
            <w:pPr>
              <w:jc w:val="center"/>
              <w:rPr>
                <w:sz w:val="22"/>
              </w:rPr>
            </w:pPr>
            <w:r w:rsidRPr="003E6162">
              <w:rPr>
                <w:sz w:val="22"/>
              </w:rPr>
              <w:t>1</w:t>
            </w:r>
            <w:r w:rsidR="00FE28F1" w:rsidRPr="003E6162">
              <w:rPr>
                <w:sz w:val="22"/>
              </w:rPr>
              <w:t>16</w:t>
            </w:r>
            <w:r w:rsidR="00F36E36" w:rsidRPr="003E6162">
              <w:rPr>
                <w:sz w:val="22"/>
              </w:rPr>
              <w:t>-</w:t>
            </w:r>
            <w:r w:rsidR="00FE28F1" w:rsidRPr="003E6162">
              <w:rPr>
                <w:sz w:val="22"/>
              </w:rPr>
              <w:t>196</w:t>
            </w:r>
            <w:r w:rsidR="002F04D3" w:rsidRPr="003E6162">
              <w:rPr>
                <w:sz w:val="22"/>
              </w:rPr>
              <w:t xml:space="preserve"> (</w:t>
            </w:r>
            <w:r w:rsidRPr="003E6162">
              <w:rPr>
                <w:sz w:val="22"/>
              </w:rPr>
              <w:t>6</w:t>
            </w:r>
            <w:r w:rsidR="008E2F72" w:rsidRPr="003E6162">
              <w:rPr>
                <w:sz w:val="22"/>
              </w:rPr>
              <w:t>5</w:t>
            </w:r>
            <w:r w:rsidR="002F04D3" w:rsidRPr="003E6162">
              <w:rPr>
                <w:sz w:val="22"/>
              </w:rPr>
              <w:t>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68F22" w14:textId="4E03A83A" w:rsidR="00E13B81" w:rsidRPr="00B57A9D" w:rsidRDefault="00E13B81" w:rsidP="00802D85">
            <w:pPr>
              <w:jc w:val="center"/>
              <w:rPr>
                <w:sz w:val="22"/>
              </w:rPr>
            </w:pPr>
            <w:r w:rsidRPr="00B57A9D">
              <w:rPr>
                <w:sz w:val="22"/>
              </w:rPr>
              <w:t>1</w:t>
            </w:r>
            <w:r w:rsidR="00F36E36" w:rsidRPr="00B57A9D">
              <w:rPr>
                <w:sz w:val="22"/>
              </w:rPr>
              <w:t>0</w:t>
            </w:r>
            <w:r w:rsidR="00532ABA">
              <w:rPr>
                <w:sz w:val="22"/>
              </w:rPr>
              <w:t>7</w:t>
            </w:r>
          </w:p>
        </w:tc>
      </w:tr>
    </w:tbl>
    <w:p w14:paraId="348345D3" w14:textId="77777777" w:rsidR="00B20855" w:rsidRDefault="00B20855" w:rsidP="00B20855">
      <w:pPr>
        <w:rPr>
          <w:i/>
          <w:iCs/>
          <w:color w:val="000000"/>
          <w:sz w:val="22"/>
          <w:szCs w:val="22"/>
        </w:rPr>
      </w:pPr>
    </w:p>
    <w:p w14:paraId="7163AC33" w14:textId="75B17F12" w:rsidR="00B20855" w:rsidRPr="00A56367" w:rsidRDefault="00B20855" w:rsidP="00B20855">
      <w:pPr>
        <w:rPr>
          <w:i/>
          <w:iCs/>
          <w:noProof/>
        </w:rPr>
      </w:pPr>
      <w:r w:rsidRPr="00A56367">
        <w:rPr>
          <w:i/>
          <w:iCs/>
          <w:color w:val="000000"/>
          <w:sz w:val="22"/>
          <w:szCs w:val="22"/>
        </w:rPr>
        <w:t xml:space="preserve">Table </w:t>
      </w:r>
      <w:r>
        <w:rPr>
          <w:i/>
          <w:iCs/>
          <w:color w:val="000000"/>
          <w:sz w:val="22"/>
          <w:szCs w:val="22"/>
        </w:rPr>
        <w:t>1</w:t>
      </w:r>
      <w:r w:rsidRPr="00A56367">
        <w:rPr>
          <w:i/>
          <w:iCs/>
          <w:color w:val="000000"/>
          <w:sz w:val="22"/>
          <w:szCs w:val="22"/>
        </w:rPr>
        <w:t xml:space="preserve">. </w:t>
      </w:r>
      <w:r>
        <w:rPr>
          <w:i/>
          <w:iCs/>
          <w:color w:val="000000"/>
          <w:sz w:val="22"/>
          <w:szCs w:val="22"/>
        </w:rPr>
        <w:t>202</w:t>
      </w:r>
      <w:r w:rsidR="001C751C">
        <w:rPr>
          <w:i/>
          <w:iCs/>
          <w:color w:val="000000"/>
          <w:sz w:val="22"/>
          <w:szCs w:val="22"/>
        </w:rPr>
        <w:t>4</w:t>
      </w:r>
      <w:r>
        <w:rPr>
          <w:i/>
          <w:iCs/>
          <w:color w:val="000000"/>
          <w:sz w:val="22"/>
          <w:szCs w:val="22"/>
        </w:rPr>
        <w:t xml:space="preserve"> </w:t>
      </w:r>
      <w:r w:rsidR="009F4767">
        <w:rPr>
          <w:i/>
          <w:iCs/>
          <w:color w:val="000000"/>
          <w:sz w:val="22"/>
          <w:szCs w:val="22"/>
        </w:rPr>
        <w:t>tropical outlook.</w:t>
      </w:r>
    </w:p>
    <w:p w14:paraId="4B0FEE37" w14:textId="77777777" w:rsidR="00B20855" w:rsidRDefault="00B20855" w:rsidP="00762EF2">
      <w:pPr>
        <w:spacing w:after="160"/>
        <w:rPr>
          <w:noProof/>
          <w:sz w:val="22"/>
        </w:rPr>
      </w:pPr>
    </w:p>
    <w:p w14:paraId="45346313" w14:textId="78F2A58F" w:rsidR="003A1F09" w:rsidRDefault="003A1F09" w:rsidP="00762EF2">
      <w:pPr>
        <w:spacing w:after="160"/>
        <w:rPr>
          <w:noProof/>
          <w:sz w:val="22"/>
        </w:rPr>
      </w:pPr>
      <w:r>
        <w:rPr>
          <w:rFonts w:hint="eastAsia"/>
          <w:noProof/>
          <w:sz w:val="22"/>
        </w:rPr>
        <w:t>W</w:t>
      </w:r>
      <w:r>
        <w:rPr>
          <w:noProof/>
          <w:sz w:val="22"/>
        </w:rPr>
        <w:t>e will update our prediction in early June 202</w:t>
      </w:r>
      <w:r w:rsidR="001C751C">
        <w:rPr>
          <w:noProof/>
          <w:sz w:val="22"/>
        </w:rPr>
        <w:t>4</w:t>
      </w:r>
      <w:r>
        <w:rPr>
          <w:noProof/>
          <w:sz w:val="22"/>
        </w:rPr>
        <w:t>.</w:t>
      </w:r>
    </w:p>
    <w:p w14:paraId="7E5DDEE3" w14:textId="77777777" w:rsidR="00762EF2" w:rsidRDefault="00762EF2" w:rsidP="003A1F09">
      <w:pPr>
        <w:spacing w:after="160"/>
        <w:rPr>
          <w:sz w:val="22"/>
          <w:szCs w:val="22"/>
        </w:rPr>
      </w:pPr>
    </w:p>
    <w:p w14:paraId="1CBCB040" w14:textId="77777777" w:rsidR="00762EF2" w:rsidRDefault="00762EF2" w:rsidP="003A1F09">
      <w:pPr>
        <w:spacing w:after="160"/>
        <w:rPr>
          <w:sz w:val="22"/>
          <w:szCs w:val="22"/>
        </w:rPr>
      </w:pPr>
    </w:p>
    <w:p w14:paraId="404E60CB" w14:textId="2A90B9BB" w:rsidR="003A1F09" w:rsidRPr="003A1F09" w:rsidRDefault="00C93F67" w:rsidP="003A1F09">
      <w:pPr>
        <w:spacing w:after="160"/>
        <w:rPr>
          <w:sz w:val="22"/>
          <w:szCs w:val="22"/>
        </w:rPr>
      </w:pPr>
      <w:r w:rsidRPr="003A1F09">
        <w:rPr>
          <w:sz w:val="22"/>
          <w:szCs w:val="22"/>
        </w:rPr>
        <w:lastRenderedPageBreak/>
        <w:t xml:space="preserve">Reference: </w:t>
      </w:r>
    </w:p>
    <w:p w14:paraId="3BD50EDA" w14:textId="064A0387" w:rsidR="00C93F67" w:rsidRPr="00E13B81" w:rsidRDefault="00C93F67" w:rsidP="00E13B81">
      <w:pPr>
        <w:pStyle w:val="TextA"/>
        <w:widowControl w:val="0"/>
        <w:ind w:left="482" w:hanging="482"/>
        <w:jc w:val="both"/>
        <w:rPr>
          <w:rFonts w:ascii="Times New Roman" w:hAnsi="Times New Roman" w:cs="Times New Roman"/>
          <w:sz w:val="22"/>
          <w:szCs w:val="22"/>
        </w:rPr>
      </w:pPr>
      <w:r w:rsidRPr="00E13B81">
        <w:rPr>
          <w:rFonts w:ascii="Times New Roman" w:hAnsi="Times New Roman" w:cs="Times New Roman"/>
          <w:sz w:val="22"/>
          <w:szCs w:val="22"/>
        </w:rPr>
        <w:t>Davis,</w:t>
      </w:r>
      <w:r w:rsidR="003A1F09" w:rsidRPr="00E13B81">
        <w:rPr>
          <w:rFonts w:ascii="Times New Roman" w:hAnsi="Times New Roman" w:cs="Times New Roman"/>
          <w:sz w:val="22"/>
          <w:szCs w:val="22"/>
        </w:rPr>
        <w:t xml:space="preserve"> K.,</w:t>
      </w:r>
      <w:r w:rsidRPr="00E13B81">
        <w:rPr>
          <w:rFonts w:ascii="Times New Roman" w:hAnsi="Times New Roman" w:cs="Times New Roman"/>
          <w:sz w:val="22"/>
          <w:szCs w:val="22"/>
        </w:rPr>
        <w:t xml:space="preserve"> X</w:t>
      </w:r>
      <w:r w:rsidR="003A1F09" w:rsidRPr="00E13B81">
        <w:rPr>
          <w:rFonts w:ascii="Times New Roman" w:hAnsi="Times New Roman" w:cs="Times New Roman"/>
          <w:sz w:val="22"/>
          <w:szCs w:val="22"/>
        </w:rPr>
        <w:t>.</w:t>
      </w:r>
      <w:r w:rsidRPr="00E13B81">
        <w:rPr>
          <w:rFonts w:ascii="Times New Roman" w:hAnsi="Times New Roman" w:cs="Times New Roman"/>
          <w:sz w:val="22"/>
          <w:szCs w:val="22"/>
        </w:rPr>
        <w:t xml:space="preserve"> Zeng, and E</w:t>
      </w:r>
      <w:r w:rsidR="003A1F09" w:rsidRPr="00E13B81">
        <w:rPr>
          <w:rFonts w:ascii="Times New Roman" w:hAnsi="Times New Roman" w:cs="Times New Roman"/>
          <w:sz w:val="22"/>
          <w:szCs w:val="22"/>
        </w:rPr>
        <w:t>.</w:t>
      </w:r>
      <w:r w:rsidRPr="00E13B81">
        <w:rPr>
          <w:rFonts w:ascii="Times New Roman" w:hAnsi="Times New Roman" w:cs="Times New Roman"/>
          <w:sz w:val="22"/>
          <w:szCs w:val="22"/>
        </w:rPr>
        <w:t xml:space="preserve"> A. Ritchie, 2015: A New Statistical Model for Predicting Seasonal North Atlantic Hurricane Activity. Wea. Forecasting, 30, 730–741, </w:t>
      </w:r>
      <w:proofErr w:type="spellStart"/>
      <w:r w:rsidRPr="00E13B81">
        <w:rPr>
          <w:rFonts w:ascii="Times New Roman" w:hAnsi="Times New Roman" w:cs="Times New Roman"/>
          <w:sz w:val="22"/>
          <w:szCs w:val="22"/>
        </w:rPr>
        <w:t>doi</w:t>
      </w:r>
      <w:proofErr w:type="spellEnd"/>
      <w:r w:rsidRPr="00E13B81">
        <w:rPr>
          <w:rFonts w:ascii="Times New Roman" w:hAnsi="Times New Roman" w:cs="Times New Roman"/>
          <w:sz w:val="22"/>
          <w:szCs w:val="22"/>
        </w:rPr>
        <w:t xml:space="preserve">: 10.1175/WAF-D-14-00156.1 </w:t>
      </w:r>
    </w:p>
    <w:p w14:paraId="77A798C9" w14:textId="27479C38" w:rsidR="00C93F67" w:rsidRPr="00E13B81" w:rsidRDefault="00C93F67" w:rsidP="00E13B81">
      <w:pPr>
        <w:pStyle w:val="TextA"/>
        <w:widowControl w:val="0"/>
        <w:ind w:left="482" w:hanging="482"/>
        <w:jc w:val="both"/>
        <w:rPr>
          <w:rFonts w:ascii="Times New Roman" w:hAnsi="Times New Roman" w:cs="Times New Roman"/>
          <w:sz w:val="22"/>
          <w:szCs w:val="22"/>
        </w:rPr>
      </w:pPr>
      <w:r w:rsidRPr="00E13B81">
        <w:rPr>
          <w:rFonts w:ascii="Times New Roman" w:hAnsi="Times New Roman" w:cs="Times New Roman"/>
          <w:sz w:val="22"/>
          <w:szCs w:val="22"/>
        </w:rPr>
        <w:t>Davis, K. and X. Zeng, 2019: </w:t>
      </w:r>
      <w:hyperlink r:id="rId11" w:history="1">
        <w:r w:rsidRPr="00E13B81">
          <w:rPr>
            <w:rFonts w:ascii="Times New Roman" w:hAnsi="Times New Roman" w:cs="Times New Roman"/>
            <w:sz w:val="22"/>
            <w:szCs w:val="22"/>
          </w:rPr>
          <w:t>Seasonal Prediction of North Atlantic Accumulated Cyclone Energy and Major Hurricane Activity.</w:t>
        </w:r>
      </w:hyperlink>
      <w:r w:rsidRPr="00E13B81">
        <w:rPr>
          <w:rFonts w:ascii="Times New Roman" w:hAnsi="Times New Roman" w:cs="Times New Roman"/>
          <w:sz w:val="22"/>
          <w:szCs w:val="22"/>
        </w:rPr>
        <w:t> Wea. Forecasting, 34, 221–232,</w:t>
      </w:r>
      <w:r w:rsidR="00E13B81">
        <w:rPr>
          <w:rFonts w:ascii="Times New Roman" w:hAnsi="Times New Roman" w:cs="Times New Roman"/>
          <w:sz w:val="22"/>
          <w:szCs w:val="22"/>
        </w:rPr>
        <w:t xml:space="preserve"> </w:t>
      </w:r>
      <w:hyperlink r:id="rId12" w:history="1">
        <w:proofErr w:type="spellStart"/>
        <w:r w:rsidR="00E13B81">
          <w:rPr>
            <w:rFonts w:ascii="Times New Roman" w:hAnsi="Times New Roman" w:cs="Times New Roman"/>
            <w:sz w:val="22"/>
            <w:szCs w:val="22"/>
          </w:rPr>
          <w:t>doi</w:t>
        </w:r>
        <w:proofErr w:type="spellEnd"/>
        <w:r w:rsidR="00E13B81">
          <w:rPr>
            <w:rFonts w:ascii="Times New Roman" w:hAnsi="Times New Roman" w:cs="Times New Roman"/>
            <w:sz w:val="22"/>
            <w:szCs w:val="22"/>
          </w:rPr>
          <w:t xml:space="preserve">: </w:t>
        </w:r>
        <w:r w:rsidRPr="00E13B81">
          <w:rPr>
            <w:rFonts w:ascii="Times New Roman" w:hAnsi="Times New Roman" w:cs="Times New Roman"/>
            <w:sz w:val="22"/>
            <w:szCs w:val="22"/>
          </w:rPr>
          <w:t>10.1175/WAF-D-18-0125.1</w:t>
        </w:r>
      </w:hyperlink>
      <w:r w:rsidRPr="00E13B81">
        <w:rPr>
          <w:rFonts w:ascii="Times New Roman" w:hAnsi="Times New Roman" w:cs="Times New Roman"/>
          <w:sz w:val="22"/>
          <w:szCs w:val="22"/>
        </w:rPr>
        <w:t> </w:t>
      </w:r>
    </w:p>
    <w:p w14:paraId="563F9F65" w14:textId="77777777" w:rsidR="00E13B81" w:rsidRPr="003A1F09" w:rsidRDefault="00E13B81" w:rsidP="003A1F09">
      <w:pPr>
        <w:rPr>
          <w:sz w:val="22"/>
          <w:szCs w:val="22"/>
        </w:rPr>
      </w:pPr>
    </w:p>
    <w:p w14:paraId="0355F241" w14:textId="11D25424" w:rsidR="00C76446" w:rsidRDefault="00C93F67" w:rsidP="001269CA">
      <w:pPr>
        <w:rPr>
          <w:sz w:val="22"/>
          <w:szCs w:val="22"/>
        </w:rPr>
      </w:pPr>
      <w:r w:rsidRPr="003A1F09">
        <w:rPr>
          <w:sz w:val="22"/>
          <w:szCs w:val="22"/>
        </w:rPr>
        <w:t xml:space="preserve">Researcher contact: Mr. Kyle Davis (email: davis7000@gmail.com); Prof. Xubin Zeng (email: </w:t>
      </w:r>
      <w:hyperlink r:id="rId13" w:history="1">
        <w:r w:rsidR="00C4641C" w:rsidRPr="00C4641C">
          <w:rPr>
            <w:rStyle w:val="Hyperlink"/>
            <w:sz w:val="22"/>
            <w:szCs w:val="22"/>
          </w:rPr>
          <w:t>xubin@</w:t>
        </w:r>
        <w:r w:rsidR="00C4641C" w:rsidRPr="00B224ED">
          <w:rPr>
            <w:rStyle w:val="Hyperlink"/>
            <w:sz w:val="22"/>
            <w:szCs w:val="22"/>
          </w:rPr>
          <w:t>arizona.edu</w:t>
        </w:r>
      </w:hyperlink>
      <w:r w:rsidRPr="003A1F09">
        <w:rPr>
          <w:sz w:val="22"/>
          <w:szCs w:val="22"/>
        </w:rPr>
        <w:t>; Tel: 520-621-4782)</w:t>
      </w:r>
    </w:p>
    <w:p w14:paraId="06CFF586" w14:textId="77777777" w:rsidR="002C4DBF" w:rsidRDefault="002C4DBF" w:rsidP="001269CA">
      <w:pPr>
        <w:rPr>
          <w:noProof/>
        </w:rPr>
      </w:pPr>
    </w:p>
    <w:tbl>
      <w:tblPr>
        <w:tblW w:w="5580" w:type="dxa"/>
        <w:tblLook w:val="04A0" w:firstRow="1" w:lastRow="0" w:firstColumn="1" w:lastColumn="0" w:noHBand="0" w:noVBand="1"/>
      </w:tblPr>
      <w:tblGrid>
        <w:gridCol w:w="1800"/>
        <w:gridCol w:w="1221"/>
        <w:gridCol w:w="1157"/>
        <w:gridCol w:w="1402"/>
      </w:tblGrid>
      <w:tr w:rsidR="002C4DBF" w:rsidRPr="002C4DBF" w14:paraId="0B880467" w14:textId="77777777" w:rsidTr="002C4DBF">
        <w:trPr>
          <w:trHeight w:val="29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A470963" w14:textId="77777777" w:rsidR="002C4DBF" w:rsidRPr="002C4DBF" w:rsidRDefault="002C4DBF" w:rsidP="002C4DB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2C4DB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Category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23FFB18" w14:textId="77777777" w:rsidR="002C4DBF" w:rsidRPr="002C4DBF" w:rsidRDefault="002C4DBF" w:rsidP="002C4DB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2C4DB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Calibration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B90C9A6" w14:textId="77777777" w:rsidR="002C4DBF" w:rsidRPr="002C4DBF" w:rsidRDefault="002C4DBF" w:rsidP="002C4DB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2C4DB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Validation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C949796" w14:textId="77777777" w:rsidR="002C4DBF" w:rsidRPr="002C4DBF" w:rsidRDefault="002C4DBF" w:rsidP="002C4DB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2C4DB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5-yr Average</w:t>
            </w:r>
          </w:p>
        </w:tc>
      </w:tr>
      <w:tr w:rsidR="002C4DBF" w:rsidRPr="002C4DBF" w14:paraId="4114714E" w14:textId="77777777" w:rsidTr="002C4DBF">
        <w:trPr>
          <w:trHeight w:val="29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8BA7" w14:textId="77777777" w:rsidR="002C4DBF" w:rsidRPr="002C4DBF" w:rsidRDefault="002C4DBF" w:rsidP="002C4D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4DBF">
              <w:rPr>
                <w:rFonts w:ascii="Calibri" w:hAnsi="Calibri" w:cs="Calibri"/>
                <w:color w:val="000000"/>
                <w:sz w:val="22"/>
                <w:szCs w:val="22"/>
              </w:rPr>
              <w:t>Named Storms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7444" w14:textId="510F78D0" w:rsidR="002C4DBF" w:rsidRPr="00C3087C" w:rsidRDefault="002C4DBF" w:rsidP="002C4D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87C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  <w:r w:rsidR="009938A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0C14" w14:textId="275ECE4D" w:rsidR="002C4DBF" w:rsidRPr="00C3087C" w:rsidRDefault="00A0677A" w:rsidP="002C4D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3.4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17A9" w14:textId="3A6746CF" w:rsidR="002C4DBF" w:rsidRPr="00C3087C" w:rsidRDefault="006146A7" w:rsidP="002C4D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4.4</w:t>
            </w:r>
          </w:p>
        </w:tc>
      </w:tr>
      <w:tr w:rsidR="002C4DBF" w:rsidRPr="002C4DBF" w14:paraId="7BF62B2D" w14:textId="77777777" w:rsidTr="002C4DBF">
        <w:trPr>
          <w:trHeight w:val="29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84B9F0B" w14:textId="77777777" w:rsidR="002C4DBF" w:rsidRPr="002C4DBF" w:rsidRDefault="002C4DBF" w:rsidP="002C4D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4DBF">
              <w:rPr>
                <w:rFonts w:ascii="Calibri" w:hAnsi="Calibri" w:cs="Calibri"/>
                <w:color w:val="000000"/>
                <w:sz w:val="22"/>
                <w:szCs w:val="22"/>
              </w:rPr>
              <w:t>Hurricane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8213D71" w14:textId="478E25D4" w:rsidR="002C4DBF" w:rsidRPr="00C3087C" w:rsidRDefault="002C4DBF" w:rsidP="002C4D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87C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  <w:r w:rsidR="000D64C8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E3EE6BA" w14:textId="1878A7A9" w:rsidR="002C4DBF" w:rsidRPr="00C3087C" w:rsidRDefault="002C4DBF" w:rsidP="002C4D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87C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  <w:r w:rsidR="007F3F0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E263CC5" w14:textId="7D256D95" w:rsidR="002C4DBF" w:rsidRPr="00C3087C" w:rsidRDefault="002C4DBF" w:rsidP="002C4D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87C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  <w:r w:rsidR="0063472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2C4DBF" w:rsidRPr="002C4DBF" w14:paraId="7AEC0BC4" w14:textId="77777777" w:rsidTr="002C4DBF">
        <w:trPr>
          <w:trHeight w:val="29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66D8" w14:textId="77777777" w:rsidR="002C4DBF" w:rsidRPr="002C4DBF" w:rsidRDefault="002C4DBF" w:rsidP="002C4D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4DBF">
              <w:rPr>
                <w:rFonts w:ascii="Calibri" w:hAnsi="Calibri" w:cs="Calibri"/>
                <w:color w:val="000000"/>
                <w:sz w:val="22"/>
                <w:szCs w:val="22"/>
              </w:rPr>
              <w:t>Major Hurricane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2BF0" w14:textId="77777777" w:rsidR="002C4DBF" w:rsidRPr="00C3087C" w:rsidRDefault="002C4DBF" w:rsidP="002C4D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87C">
              <w:rPr>
                <w:rFonts w:ascii="Calibri" w:hAnsi="Calibri" w:cs="Calibri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43E5" w14:textId="31D3FED4" w:rsidR="002C4DBF" w:rsidRPr="00C3087C" w:rsidRDefault="00B34E95" w:rsidP="002C4D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87C">
              <w:rPr>
                <w:rFonts w:ascii="Calibri" w:hAnsi="Calibri" w:cs="Calibri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7A64" w14:textId="7AD22E95" w:rsidR="002C4DBF" w:rsidRPr="00C3087C" w:rsidRDefault="002C4DBF" w:rsidP="002C4D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87C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  <w:r w:rsidR="00C90529" w:rsidRPr="00C3087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2C4DBF" w:rsidRPr="002C4DBF" w14:paraId="239DFB8D" w14:textId="77777777" w:rsidTr="002C4DBF">
        <w:trPr>
          <w:trHeight w:val="290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4C8C5C4F" w14:textId="77777777" w:rsidR="002C4DBF" w:rsidRPr="002C4DBF" w:rsidRDefault="002C4DBF" w:rsidP="002C4D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4DBF">
              <w:rPr>
                <w:rFonts w:ascii="Calibri" w:hAnsi="Calibri" w:cs="Calibri"/>
                <w:color w:val="000000"/>
                <w:sz w:val="22"/>
                <w:szCs w:val="22"/>
              </w:rPr>
              <w:t>ACE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3FBE1126" w14:textId="43F93463" w:rsidR="002C4DBF" w:rsidRPr="00C3087C" w:rsidRDefault="009E6EE4" w:rsidP="002C4D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43.8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79A4BF76" w14:textId="502888E6" w:rsidR="002C4DBF" w:rsidRPr="00C3087C" w:rsidRDefault="000B5D57" w:rsidP="002C4D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35.4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4051F7D8" w14:textId="0EF811AB" w:rsidR="002C4DBF" w:rsidRPr="00C3087C" w:rsidRDefault="007C7E69" w:rsidP="002C4D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45.1</w:t>
            </w:r>
          </w:p>
        </w:tc>
      </w:tr>
    </w:tbl>
    <w:p w14:paraId="31F6281A" w14:textId="3C73DAE7" w:rsidR="003803EC" w:rsidRDefault="003803EC" w:rsidP="007513EF">
      <w:pPr>
        <w:rPr>
          <w:noProof/>
        </w:rPr>
      </w:pPr>
    </w:p>
    <w:p w14:paraId="0A47905E" w14:textId="30500408" w:rsidR="00C42297" w:rsidRPr="00A56367" w:rsidRDefault="001269CA" w:rsidP="007513EF">
      <w:pPr>
        <w:rPr>
          <w:i/>
          <w:iCs/>
          <w:noProof/>
        </w:rPr>
      </w:pPr>
      <w:r w:rsidRPr="00A56367">
        <w:rPr>
          <w:i/>
          <w:iCs/>
          <w:color w:val="000000"/>
          <w:sz w:val="22"/>
          <w:szCs w:val="22"/>
        </w:rPr>
        <w:t xml:space="preserve">Table </w:t>
      </w:r>
      <w:r w:rsidR="00B20855">
        <w:rPr>
          <w:i/>
          <w:iCs/>
          <w:color w:val="000000"/>
          <w:sz w:val="22"/>
          <w:szCs w:val="22"/>
        </w:rPr>
        <w:t>2</w:t>
      </w:r>
      <w:r w:rsidRPr="00A56367">
        <w:rPr>
          <w:i/>
          <w:iCs/>
          <w:color w:val="000000"/>
          <w:sz w:val="22"/>
          <w:szCs w:val="22"/>
        </w:rPr>
        <w:t>. Mean absolute errors of our forecasts and those using the 5-year average as the prediction</w:t>
      </w:r>
      <w:r w:rsidR="00A86247">
        <w:rPr>
          <w:i/>
          <w:iCs/>
          <w:color w:val="000000"/>
          <w:sz w:val="22"/>
          <w:szCs w:val="22"/>
        </w:rPr>
        <w:t>. All three columns use data from 1981.</w:t>
      </w:r>
      <w:r w:rsidR="009760C9">
        <w:rPr>
          <w:i/>
          <w:iCs/>
          <w:color w:val="000000"/>
          <w:sz w:val="22"/>
          <w:szCs w:val="22"/>
        </w:rPr>
        <w:t xml:space="preserve"> 5-yr average is for t</w:t>
      </w:r>
      <w:r w:rsidR="00EE487B">
        <w:rPr>
          <w:i/>
          <w:iCs/>
          <w:color w:val="000000"/>
          <w:sz w:val="22"/>
          <w:szCs w:val="22"/>
        </w:rPr>
        <w:t>he same period as the validation test.</w:t>
      </w:r>
    </w:p>
    <w:p w14:paraId="24EADB94" w14:textId="77777777" w:rsidR="00C42297" w:rsidRDefault="00C42297" w:rsidP="007513EF">
      <w:pPr>
        <w:rPr>
          <w:noProof/>
        </w:rPr>
      </w:pPr>
    </w:p>
    <w:p w14:paraId="2EE1F653" w14:textId="6AB34C66" w:rsidR="00572149" w:rsidRDefault="00D31230" w:rsidP="007513EF">
      <w:r w:rsidRPr="00D31230">
        <w:rPr>
          <w:noProof/>
        </w:rPr>
        <w:t xml:space="preserve">  </w:t>
      </w:r>
      <w:r w:rsidR="00DD0CEE" w:rsidRPr="00DD0CEE">
        <w:rPr>
          <w:noProof/>
        </w:rPr>
        <w:t xml:space="preserve"> </w:t>
      </w:r>
    </w:p>
    <w:p w14:paraId="06B28FE4" w14:textId="6E5E00A3" w:rsidR="00D31230" w:rsidRDefault="00D31230" w:rsidP="007513EF"/>
    <w:p w14:paraId="26A69EEE" w14:textId="5EBB6A3F" w:rsidR="007513EF" w:rsidRDefault="007513EF" w:rsidP="007513EF"/>
    <w:sectPr w:rsidR="007513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9B30A" w14:textId="77777777" w:rsidR="00B322A6" w:rsidRDefault="00B322A6" w:rsidP="006D41F8">
      <w:r>
        <w:separator/>
      </w:r>
    </w:p>
  </w:endnote>
  <w:endnote w:type="continuationSeparator" w:id="0">
    <w:p w14:paraId="4B8A9AAB" w14:textId="77777777" w:rsidR="00B322A6" w:rsidRDefault="00B322A6" w:rsidP="006D4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C2E97" w14:textId="77777777" w:rsidR="00B322A6" w:rsidRDefault="00B322A6" w:rsidP="006D41F8">
      <w:r>
        <w:separator/>
      </w:r>
    </w:p>
  </w:footnote>
  <w:footnote w:type="continuationSeparator" w:id="0">
    <w:p w14:paraId="3DF60E94" w14:textId="77777777" w:rsidR="00B322A6" w:rsidRDefault="00B322A6" w:rsidP="006D4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3311"/>
    <w:multiLevelType w:val="hybridMultilevel"/>
    <w:tmpl w:val="1FECF5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940A6"/>
    <w:multiLevelType w:val="hybridMultilevel"/>
    <w:tmpl w:val="C72EE1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530D0"/>
    <w:multiLevelType w:val="hybridMultilevel"/>
    <w:tmpl w:val="2EE436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00DD7"/>
    <w:multiLevelType w:val="hybridMultilevel"/>
    <w:tmpl w:val="522AA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F61E9"/>
    <w:multiLevelType w:val="hybridMultilevel"/>
    <w:tmpl w:val="EFC895E6"/>
    <w:lvl w:ilvl="0" w:tplc="B6A0B67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51709"/>
    <w:multiLevelType w:val="hybridMultilevel"/>
    <w:tmpl w:val="CEDA16A0"/>
    <w:lvl w:ilvl="0" w:tplc="5F86179A">
      <w:start w:val="1"/>
      <w:numFmt w:val="decimal"/>
      <w:lvlText w:val="%1)"/>
      <w:lvlJc w:val="left"/>
      <w:pPr>
        <w:ind w:left="6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1" w:hanging="360"/>
      </w:pPr>
    </w:lvl>
    <w:lvl w:ilvl="2" w:tplc="0409001B" w:tentative="1">
      <w:start w:val="1"/>
      <w:numFmt w:val="lowerRoman"/>
      <w:lvlText w:val="%3."/>
      <w:lvlJc w:val="right"/>
      <w:pPr>
        <w:ind w:left="2101" w:hanging="180"/>
      </w:pPr>
    </w:lvl>
    <w:lvl w:ilvl="3" w:tplc="0409000F" w:tentative="1">
      <w:start w:val="1"/>
      <w:numFmt w:val="decimal"/>
      <w:lvlText w:val="%4."/>
      <w:lvlJc w:val="left"/>
      <w:pPr>
        <w:ind w:left="2821" w:hanging="360"/>
      </w:pPr>
    </w:lvl>
    <w:lvl w:ilvl="4" w:tplc="04090019" w:tentative="1">
      <w:start w:val="1"/>
      <w:numFmt w:val="lowerLetter"/>
      <w:lvlText w:val="%5."/>
      <w:lvlJc w:val="left"/>
      <w:pPr>
        <w:ind w:left="3541" w:hanging="360"/>
      </w:pPr>
    </w:lvl>
    <w:lvl w:ilvl="5" w:tplc="0409001B" w:tentative="1">
      <w:start w:val="1"/>
      <w:numFmt w:val="lowerRoman"/>
      <w:lvlText w:val="%6."/>
      <w:lvlJc w:val="right"/>
      <w:pPr>
        <w:ind w:left="4261" w:hanging="180"/>
      </w:pPr>
    </w:lvl>
    <w:lvl w:ilvl="6" w:tplc="0409000F" w:tentative="1">
      <w:start w:val="1"/>
      <w:numFmt w:val="decimal"/>
      <w:lvlText w:val="%7."/>
      <w:lvlJc w:val="left"/>
      <w:pPr>
        <w:ind w:left="4981" w:hanging="360"/>
      </w:pPr>
    </w:lvl>
    <w:lvl w:ilvl="7" w:tplc="04090019" w:tentative="1">
      <w:start w:val="1"/>
      <w:numFmt w:val="lowerLetter"/>
      <w:lvlText w:val="%8."/>
      <w:lvlJc w:val="left"/>
      <w:pPr>
        <w:ind w:left="5701" w:hanging="360"/>
      </w:pPr>
    </w:lvl>
    <w:lvl w:ilvl="8" w:tplc="040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6" w15:restartNumberingAfterBreak="0">
    <w:nsid w:val="434B64B0"/>
    <w:multiLevelType w:val="hybridMultilevel"/>
    <w:tmpl w:val="49B885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44C1C"/>
    <w:multiLevelType w:val="hybridMultilevel"/>
    <w:tmpl w:val="79E26342"/>
    <w:lvl w:ilvl="0" w:tplc="4B9863EA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8" w15:restartNumberingAfterBreak="0">
    <w:nsid w:val="4762451F"/>
    <w:multiLevelType w:val="hybridMultilevel"/>
    <w:tmpl w:val="26CCA3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C2379"/>
    <w:multiLevelType w:val="hybridMultilevel"/>
    <w:tmpl w:val="15CC80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E49C7"/>
    <w:multiLevelType w:val="hybridMultilevel"/>
    <w:tmpl w:val="3A0402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110408">
    <w:abstractNumId w:val="9"/>
  </w:num>
  <w:num w:numId="2" w16cid:durableId="1578828142">
    <w:abstractNumId w:val="5"/>
  </w:num>
  <w:num w:numId="3" w16cid:durableId="406344480">
    <w:abstractNumId w:val="2"/>
  </w:num>
  <w:num w:numId="4" w16cid:durableId="1647510052">
    <w:abstractNumId w:val="7"/>
  </w:num>
  <w:num w:numId="5" w16cid:durableId="750346898">
    <w:abstractNumId w:val="8"/>
  </w:num>
  <w:num w:numId="6" w16cid:durableId="2015106752">
    <w:abstractNumId w:val="0"/>
  </w:num>
  <w:num w:numId="7" w16cid:durableId="474176678">
    <w:abstractNumId w:val="4"/>
  </w:num>
  <w:num w:numId="8" w16cid:durableId="1599950928">
    <w:abstractNumId w:val="1"/>
  </w:num>
  <w:num w:numId="9" w16cid:durableId="481045681">
    <w:abstractNumId w:val="10"/>
  </w:num>
  <w:num w:numId="10" w16cid:durableId="1751999689">
    <w:abstractNumId w:val="3"/>
  </w:num>
  <w:num w:numId="11" w16cid:durableId="1046901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F0A"/>
    <w:rsid w:val="00000BF6"/>
    <w:rsid w:val="00012898"/>
    <w:rsid w:val="0001417C"/>
    <w:rsid w:val="00020708"/>
    <w:rsid w:val="00020E00"/>
    <w:rsid w:val="0003140A"/>
    <w:rsid w:val="0003395E"/>
    <w:rsid w:val="000341C8"/>
    <w:rsid w:val="00035C08"/>
    <w:rsid w:val="00041BB0"/>
    <w:rsid w:val="0004256C"/>
    <w:rsid w:val="00046B55"/>
    <w:rsid w:val="00056900"/>
    <w:rsid w:val="00057BE1"/>
    <w:rsid w:val="00062144"/>
    <w:rsid w:val="00070B19"/>
    <w:rsid w:val="000729CE"/>
    <w:rsid w:val="00083734"/>
    <w:rsid w:val="000905F7"/>
    <w:rsid w:val="00090A89"/>
    <w:rsid w:val="00092796"/>
    <w:rsid w:val="000A1456"/>
    <w:rsid w:val="000A516E"/>
    <w:rsid w:val="000B1C6E"/>
    <w:rsid w:val="000B5D57"/>
    <w:rsid w:val="000B70A2"/>
    <w:rsid w:val="000B734B"/>
    <w:rsid w:val="000C05D0"/>
    <w:rsid w:val="000D0C83"/>
    <w:rsid w:val="000D64C8"/>
    <w:rsid w:val="000D6807"/>
    <w:rsid w:val="000F4BEB"/>
    <w:rsid w:val="000F6EAC"/>
    <w:rsid w:val="00105180"/>
    <w:rsid w:val="00105761"/>
    <w:rsid w:val="00111C78"/>
    <w:rsid w:val="001139E5"/>
    <w:rsid w:val="00117E23"/>
    <w:rsid w:val="001269CA"/>
    <w:rsid w:val="001367F4"/>
    <w:rsid w:val="00140757"/>
    <w:rsid w:val="001545CE"/>
    <w:rsid w:val="0016102A"/>
    <w:rsid w:val="00166E9E"/>
    <w:rsid w:val="00171D54"/>
    <w:rsid w:val="00173AD4"/>
    <w:rsid w:val="0017494B"/>
    <w:rsid w:val="00181C20"/>
    <w:rsid w:val="00181F33"/>
    <w:rsid w:val="00182618"/>
    <w:rsid w:val="00183840"/>
    <w:rsid w:val="001855C7"/>
    <w:rsid w:val="0019180B"/>
    <w:rsid w:val="00197C56"/>
    <w:rsid w:val="001A3DA5"/>
    <w:rsid w:val="001A51B1"/>
    <w:rsid w:val="001B79BF"/>
    <w:rsid w:val="001C751C"/>
    <w:rsid w:val="001D2F51"/>
    <w:rsid w:val="001D33CA"/>
    <w:rsid w:val="001D3B91"/>
    <w:rsid w:val="001E3013"/>
    <w:rsid w:val="001E671F"/>
    <w:rsid w:val="001F358E"/>
    <w:rsid w:val="00216898"/>
    <w:rsid w:val="00217939"/>
    <w:rsid w:val="002203CE"/>
    <w:rsid w:val="00221F1E"/>
    <w:rsid w:val="00223F04"/>
    <w:rsid w:val="00233315"/>
    <w:rsid w:val="00234B7B"/>
    <w:rsid w:val="00235220"/>
    <w:rsid w:val="0025144A"/>
    <w:rsid w:val="0026193D"/>
    <w:rsid w:val="00284ED4"/>
    <w:rsid w:val="00285A73"/>
    <w:rsid w:val="00295537"/>
    <w:rsid w:val="00295EBA"/>
    <w:rsid w:val="00296B39"/>
    <w:rsid w:val="002B40CF"/>
    <w:rsid w:val="002B4F06"/>
    <w:rsid w:val="002B68EE"/>
    <w:rsid w:val="002C1C2F"/>
    <w:rsid w:val="002C4DBF"/>
    <w:rsid w:val="002C5354"/>
    <w:rsid w:val="002C6A14"/>
    <w:rsid w:val="002C6B47"/>
    <w:rsid w:val="002C6C6A"/>
    <w:rsid w:val="002D082E"/>
    <w:rsid w:val="002D1A0B"/>
    <w:rsid w:val="002E0CFB"/>
    <w:rsid w:val="002E138B"/>
    <w:rsid w:val="002E4DE6"/>
    <w:rsid w:val="002E64EC"/>
    <w:rsid w:val="002F04D3"/>
    <w:rsid w:val="002F1000"/>
    <w:rsid w:val="002F1465"/>
    <w:rsid w:val="002F4333"/>
    <w:rsid w:val="002F7072"/>
    <w:rsid w:val="00300B44"/>
    <w:rsid w:val="00303B54"/>
    <w:rsid w:val="00304DFC"/>
    <w:rsid w:val="00307D11"/>
    <w:rsid w:val="0031080F"/>
    <w:rsid w:val="00310F01"/>
    <w:rsid w:val="00312ACC"/>
    <w:rsid w:val="00313D24"/>
    <w:rsid w:val="003157C7"/>
    <w:rsid w:val="00335625"/>
    <w:rsid w:val="003400B9"/>
    <w:rsid w:val="0034255B"/>
    <w:rsid w:val="00344A3D"/>
    <w:rsid w:val="003721F5"/>
    <w:rsid w:val="0037473E"/>
    <w:rsid w:val="00377071"/>
    <w:rsid w:val="003803EC"/>
    <w:rsid w:val="00382610"/>
    <w:rsid w:val="003836A9"/>
    <w:rsid w:val="00383944"/>
    <w:rsid w:val="0038403B"/>
    <w:rsid w:val="00385BF5"/>
    <w:rsid w:val="0038660E"/>
    <w:rsid w:val="003928EA"/>
    <w:rsid w:val="003973AB"/>
    <w:rsid w:val="003A1F09"/>
    <w:rsid w:val="003A2DED"/>
    <w:rsid w:val="003A6A5C"/>
    <w:rsid w:val="003B1518"/>
    <w:rsid w:val="003B1912"/>
    <w:rsid w:val="003B1B45"/>
    <w:rsid w:val="003B43ED"/>
    <w:rsid w:val="003B7231"/>
    <w:rsid w:val="003D26C7"/>
    <w:rsid w:val="003D4155"/>
    <w:rsid w:val="003D6130"/>
    <w:rsid w:val="003E0854"/>
    <w:rsid w:val="003E2B9A"/>
    <w:rsid w:val="003E6162"/>
    <w:rsid w:val="003E6AA1"/>
    <w:rsid w:val="003E70C3"/>
    <w:rsid w:val="003F07D0"/>
    <w:rsid w:val="003F2BA8"/>
    <w:rsid w:val="004069D9"/>
    <w:rsid w:val="00415DD8"/>
    <w:rsid w:val="004225FF"/>
    <w:rsid w:val="004226DA"/>
    <w:rsid w:val="004254A1"/>
    <w:rsid w:val="004270F1"/>
    <w:rsid w:val="00433B2C"/>
    <w:rsid w:val="0044384F"/>
    <w:rsid w:val="00445AE9"/>
    <w:rsid w:val="00450C33"/>
    <w:rsid w:val="0045688E"/>
    <w:rsid w:val="0046106E"/>
    <w:rsid w:val="004650E0"/>
    <w:rsid w:val="00466A4F"/>
    <w:rsid w:val="004752E9"/>
    <w:rsid w:val="00480313"/>
    <w:rsid w:val="0048453C"/>
    <w:rsid w:val="00486B4E"/>
    <w:rsid w:val="004902F5"/>
    <w:rsid w:val="004968F0"/>
    <w:rsid w:val="004A2FF9"/>
    <w:rsid w:val="004A7241"/>
    <w:rsid w:val="004A7E59"/>
    <w:rsid w:val="004B73A9"/>
    <w:rsid w:val="004C1E45"/>
    <w:rsid w:val="004C2B70"/>
    <w:rsid w:val="004C3167"/>
    <w:rsid w:val="004C3D1E"/>
    <w:rsid w:val="004C68F3"/>
    <w:rsid w:val="004D63DC"/>
    <w:rsid w:val="004D6B9A"/>
    <w:rsid w:val="004E09B9"/>
    <w:rsid w:val="004E5CC6"/>
    <w:rsid w:val="004F3679"/>
    <w:rsid w:val="004F4803"/>
    <w:rsid w:val="004F798C"/>
    <w:rsid w:val="00500B4B"/>
    <w:rsid w:val="00502E6A"/>
    <w:rsid w:val="00520581"/>
    <w:rsid w:val="00522F91"/>
    <w:rsid w:val="00523916"/>
    <w:rsid w:val="0053148B"/>
    <w:rsid w:val="00532ABA"/>
    <w:rsid w:val="0053754F"/>
    <w:rsid w:val="00541CC5"/>
    <w:rsid w:val="00545BE6"/>
    <w:rsid w:val="005557CB"/>
    <w:rsid w:val="00570FCD"/>
    <w:rsid w:val="00572149"/>
    <w:rsid w:val="005727E6"/>
    <w:rsid w:val="00572BC9"/>
    <w:rsid w:val="00573499"/>
    <w:rsid w:val="00577A90"/>
    <w:rsid w:val="00581B9E"/>
    <w:rsid w:val="005878DA"/>
    <w:rsid w:val="0059082F"/>
    <w:rsid w:val="0059190F"/>
    <w:rsid w:val="00592928"/>
    <w:rsid w:val="0059379F"/>
    <w:rsid w:val="00595011"/>
    <w:rsid w:val="00595ADC"/>
    <w:rsid w:val="00596BBC"/>
    <w:rsid w:val="005B10F5"/>
    <w:rsid w:val="005B5D33"/>
    <w:rsid w:val="005C0622"/>
    <w:rsid w:val="005C3C59"/>
    <w:rsid w:val="005D3D48"/>
    <w:rsid w:val="005E1348"/>
    <w:rsid w:val="005E1E6B"/>
    <w:rsid w:val="005E4A3F"/>
    <w:rsid w:val="005E5125"/>
    <w:rsid w:val="005E7830"/>
    <w:rsid w:val="005F104D"/>
    <w:rsid w:val="005F2FF2"/>
    <w:rsid w:val="00602991"/>
    <w:rsid w:val="00604A84"/>
    <w:rsid w:val="006069B4"/>
    <w:rsid w:val="00610F92"/>
    <w:rsid w:val="006146A7"/>
    <w:rsid w:val="00621100"/>
    <w:rsid w:val="006213BF"/>
    <w:rsid w:val="00621D84"/>
    <w:rsid w:val="006224BA"/>
    <w:rsid w:val="00623400"/>
    <w:rsid w:val="006250DB"/>
    <w:rsid w:val="00631107"/>
    <w:rsid w:val="00632551"/>
    <w:rsid w:val="00634724"/>
    <w:rsid w:val="0063513F"/>
    <w:rsid w:val="006363DE"/>
    <w:rsid w:val="0064507F"/>
    <w:rsid w:val="00646AE4"/>
    <w:rsid w:val="00653DC3"/>
    <w:rsid w:val="0065547A"/>
    <w:rsid w:val="00675801"/>
    <w:rsid w:val="00675996"/>
    <w:rsid w:val="00682D5E"/>
    <w:rsid w:val="00686523"/>
    <w:rsid w:val="0069488F"/>
    <w:rsid w:val="00695EC6"/>
    <w:rsid w:val="006A12DC"/>
    <w:rsid w:val="006A2544"/>
    <w:rsid w:val="006A2F8D"/>
    <w:rsid w:val="006A657A"/>
    <w:rsid w:val="006A7ED6"/>
    <w:rsid w:val="006B3543"/>
    <w:rsid w:val="006B43D4"/>
    <w:rsid w:val="006B5B9A"/>
    <w:rsid w:val="006B5FEA"/>
    <w:rsid w:val="006C094D"/>
    <w:rsid w:val="006C0EFA"/>
    <w:rsid w:val="006C5BAB"/>
    <w:rsid w:val="006D41F8"/>
    <w:rsid w:val="006D52BB"/>
    <w:rsid w:val="006D5E97"/>
    <w:rsid w:val="006E248D"/>
    <w:rsid w:val="006F5A47"/>
    <w:rsid w:val="006F5B5F"/>
    <w:rsid w:val="006F61B1"/>
    <w:rsid w:val="00707A3F"/>
    <w:rsid w:val="00714F41"/>
    <w:rsid w:val="0072151A"/>
    <w:rsid w:val="007224E5"/>
    <w:rsid w:val="007234E5"/>
    <w:rsid w:val="00725964"/>
    <w:rsid w:val="00731B5D"/>
    <w:rsid w:val="0073321B"/>
    <w:rsid w:val="00734789"/>
    <w:rsid w:val="00734E3A"/>
    <w:rsid w:val="00750F2A"/>
    <w:rsid w:val="007513EF"/>
    <w:rsid w:val="0075208A"/>
    <w:rsid w:val="00752A55"/>
    <w:rsid w:val="00762EF2"/>
    <w:rsid w:val="00764AFA"/>
    <w:rsid w:val="00772265"/>
    <w:rsid w:val="00774067"/>
    <w:rsid w:val="00775F46"/>
    <w:rsid w:val="00782ACB"/>
    <w:rsid w:val="00782ED2"/>
    <w:rsid w:val="007963A8"/>
    <w:rsid w:val="007A0A8F"/>
    <w:rsid w:val="007A5D4B"/>
    <w:rsid w:val="007B342E"/>
    <w:rsid w:val="007B441A"/>
    <w:rsid w:val="007B76BB"/>
    <w:rsid w:val="007C13DC"/>
    <w:rsid w:val="007C1D9F"/>
    <w:rsid w:val="007C2513"/>
    <w:rsid w:val="007C7E69"/>
    <w:rsid w:val="007D376B"/>
    <w:rsid w:val="007D66F6"/>
    <w:rsid w:val="007F3F01"/>
    <w:rsid w:val="008006BE"/>
    <w:rsid w:val="008006C3"/>
    <w:rsid w:val="00801B8B"/>
    <w:rsid w:val="00801E9D"/>
    <w:rsid w:val="00811DF7"/>
    <w:rsid w:val="0081256C"/>
    <w:rsid w:val="00821534"/>
    <w:rsid w:val="00825630"/>
    <w:rsid w:val="0082644B"/>
    <w:rsid w:val="0083004E"/>
    <w:rsid w:val="00831F18"/>
    <w:rsid w:val="00836F2B"/>
    <w:rsid w:val="00841C76"/>
    <w:rsid w:val="00844B5F"/>
    <w:rsid w:val="00852816"/>
    <w:rsid w:val="00854982"/>
    <w:rsid w:val="0085709D"/>
    <w:rsid w:val="00861883"/>
    <w:rsid w:val="0086482C"/>
    <w:rsid w:val="00864E58"/>
    <w:rsid w:val="00865102"/>
    <w:rsid w:val="008704E3"/>
    <w:rsid w:val="008708B0"/>
    <w:rsid w:val="00870E7A"/>
    <w:rsid w:val="00871AD3"/>
    <w:rsid w:val="00872D73"/>
    <w:rsid w:val="0087415C"/>
    <w:rsid w:val="008776DB"/>
    <w:rsid w:val="0088144E"/>
    <w:rsid w:val="00892C70"/>
    <w:rsid w:val="00897771"/>
    <w:rsid w:val="008A6AF4"/>
    <w:rsid w:val="008B33AB"/>
    <w:rsid w:val="008B3DFF"/>
    <w:rsid w:val="008C2210"/>
    <w:rsid w:val="008C2A0A"/>
    <w:rsid w:val="008D29DB"/>
    <w:rsid w:val="008E2F72"/>
    <w:rsid w:val="008F0015"/>
    <w:rsid w:val="008F469E"/>
    <w:rsid w:val="008F595A"/>
    <w:rsid w:val="00903581"/>
    <w:rsid w:val="009057DE"/>
    <w:rsid w:val="00906EE9"/>
    <w:rsid w:val="00907CFD"/>
    <w:rsid w:val="009114F3"/>
    <w:rsid w:val="009126AA"/>
    <w:rsid w:val="00924C7B"/>
    <w:rsid w:val="00927943"/>
    <w:rsid w:val="00932C73"/>
    <w:rsid w:val="0093425A"/>
    <w:rsid w:val="00937121"/>
    <w:rsid w:val="00940D46"/>
    <w:rsid w:val="009467F9"/>
    <w:rsid w:val="0095041B"/>
    <w:rsid w:val="00951E28"/>
    <w:rsid w:val="00953FC2"/>
    <w:rsid w:val="009559A7"/>
    <w:rsid w:val="009567AC"/>
    <w:rsid w:val="0096334E"/>
    <w:rsid w:val="0096425F"/>
    <w:rsid w:val="009643D2"/>
    <w:rsid w:val="00964862"/>
    <w:rsid w:val="00970372"/>
    <w:rsid w:val="0097379F"/>
    <w:rsid w:val="009760C9"/>
    <w:rsid w:val="009831D9"/>
    <w:rsid w:val="00986A4D"/>
    <w:rsid w:val="009938AA"/>
    <w:rsid w:val="009B5EE4"/>
    <w:rsid w:val="009B64D1"/>
    <w:rsid w:val="009D3076"/>
    <w:rsid w:val="009D30BB"/>
    <w:rsid w:val="009D422F"/>
    <w:rsid w:val="009D67A4"/>
    <w:rsid w:val="009D7A81"/>
    <w:rsid w:val="009E379E"/>
    <w:rsid w:val="009E6291"/>
    <w:rsid w:val="009E6EE4"/>
    <w:rsid w:val="009F33CB"/>
    <w:rsid w:val="009F4767"/>
    <w:rsid w:val="009F693B"/>
    <w:rsid w:val="00A0054D"/>
    <w:rsid w:val="00A01F6E"/>
    <w:rsid w:val="00A048A3"/>
    <w:rsid w:val="00A0677A"/>
    <w:rsid w:val="00A12F71"/>
    <w:rsid w:val="00A14FC2"/>
    <w:rsid w:val="00A23804"/>
    <w:rsid w:val="00A23F0A"/>
    <w:rsid w:val="00A25ED5"/>
    <w:rsid w:val="00A4143F"/>
    <w:rsid w:val="00A560B9"/>
    <w:rsid w:val="00A56367"/>
    <w:rsid w:val="00A67DC8"/>
    <w:rsid w:val="00A75E20"/>
    <w:rsid w:val="00A76590"/>
    <w:rsid w:val="00A81950"/>
    <w:rsid w:val="00A86247"/>
    <w:rsid w:val="00A94D7F"/>
    <w:rsid w:val="00AA6401"/>
    <w:rsid w:val="00AB220E"/>
    <w:rsid w:val="00AC2C68"/>
    <w:rsid w:val="00AC402F"/>
    <w:rsid w:val="00AC7291"/>
    <w:rsid w:val="00AD6BE0"/>
    <w:rsid w:val="00AD7F90"/>
    <w:rsid w:val="00AE3853"/>
    <w:rsid w:val="00AF30A7"/>
    <w:rsid w:val="00B008B6"/>
    <w:rsid w:val="00B01573"/>
    <w:rsid w:val="00B15193"/>
    <w:rsid w:val="00B17DFB"/>
    <w:rsid w:val="00B20855"/>
    <w:rsid w:val="00B304F3"/>
    <w:rsid w:val="00B31CD7"/>
    <w:rsid w:val="00B322A6"/>
    <w:rsid w:val="00B34E95"/>
    <w:rsid w:val="00B41123"/>
    <w:rsid w:val="00B4212B"/>
    <w:rsid w:val="00B50151"/>
    <w:rsid w:val="00B560C9"/>
    <w:rsid w:val="00B56A92"/>
    <w:rsid w:val="00B57A9D"/>
    <w:rsid w:val="00B60C51"/>
    <w:rsid w:val="00B614E7"/>
    <w:rsid w:val="00B67229"/>
    <w:rsid w:val="00B6764B"/>
    <w:rsid w:val="00B73753"/>
    <w:rsid w:val="00B73AC1"/>
    <w:rsid w:val="00B81275"/>
    <w:rsid w:val="00B8235C"/>
    <w:rsid w:val="00B82BC8"/>
    <w:rsid w:val="00B854E6"/>
    <w:rsid w:val="00B94510"/>
    <w:rsid w:val="00B94A4D"/>
    <w:rsid w:val="00B965EE"/>
    <w:rsid w:val="00B979E9"/>
    <w:rsid w:val="00BA6CBE"/>
    <w:rsid w:val="00BA783B"/>
    <w:rsid w:val="00BA7FBD"/>
    <w:rsid w:val="00BB0FC0"/>
    <w:rsid w:val="00BB74A4"/>
    <w:rsid w:val="00BD3A82"/>
    <w:rsid w:val="00BD4668"/>
    <w:rsid w:val="00BD5415"/>
    <w:rsid w:val="00BE116A"/>
    <w:rsid w:val="00BE1B8E"/>
    <w:rsid w:val="00BE2053"/>
    <w:rsid w:val="00BE3BBE"/>
    <w:rsid w:val="00BE6EB3"/>
    <w:rsid w:val="00BF0301"/>
    <w:rsid w:val="00BF3EFD"/>
    <w:rsid w:val="00BF59D1"/>
    <w:rsid w:val="00BF5E9E"/>
    <w:rsid w:val="00C0238F"/>
    <w:rsid w:val="00C05F87"/>
    <w:rsid w:val="00C07945"/>
    <w:rsid w:val="00C111C9"/>
    <w:rsid w:val="00C11C62"/>
    <w:rsid w:val="00C12503"/>
    <w:rsid w:val="00C12981"/>
    <w:rsid w:val="00C13B41"/>
    <w:rsid w:val="00C22FE5"/>
    <w:rsid w:val="00C3087C"/>
    <w:rsid w:val="00C42297"/>
    <w:rsid w:val="00C42322"/>
    <w:rsid w:val="00C4641C"/>
    <w:rsid w:val="00C466BF"/>
    <w:rsid w:val="00C4795B"/>
    <w:rsid w:val="00C54581"/>
    <w:rsid w:val="00C5754C"/>
    <w:rsid w:val="00C61FE3"/>
    <w:rsid w:val="00C633C7"/>
    <w:rsid w:val="00C76446"/>
    <w:rsid w:val="00C83258"/>
    <w:rsid w:val="00C836F7"/>
    <w:rsid w:val="00C85326"/>
    <w:rsid w:val="00C90529"/>
    <w:rsid w:val="00C92D8A"/>
    <w:rsid w:val="00C93720"/>
    <w:rsid w:val="00C93F67"/>
    <w:rsid w:val="00C94464"/>
    <w:rsid w:val="00C95273"/>
    <w:rsid w:val="00CA1500"/>
    <w:rsid w:val="00CA4E5B"/>
    <w:rsid w:val="00CB28D1"/>
    <w:rsid w:val="00CC1100"/>
    <w:rsid w:val="00CD2CEE"/>
    <w:rsid w:val="00CD574E"/>
    <w:rsid w:val="00CE3A67"/>
    <w:rsid w:val="00CE486E"/>
    <w:rsid w:val="00CE5F66"/>
    <w:rsid w:val="00CF1F86"/>
    <w:rsid w:val="00CF53DF"/>
    <w:rsid w:val="00CF5F26"/>
    <w:rsid w:val="00D11C6F"/>
    <w:rsid w:val="00D164B3"/>
    <w:rsid w:val="00D26701"/>
    <w:rsid w:val="00D30382"/>
    <w:rsid w:val="00D31230"/>
    <w:rsid w:val="00D3149F"/>
    <w:rsid w:val="00D31985"/>
    <w:rsid w:val="00D43CBA"/>
    <w:rsid w:val="00D44FA0"/>
    <w:rsid w:val="00D52C1E"/>
    <w:rsid w:val="00D61A01"/>
    <w:rsid w:val="00D7004A"/>
    <w:rsid w:val="00D72E52"/>
    <w:rsid w:val="00D751A1"/>
    <w:rsid w:val="00D7572D"/>
    <w:rsid w:val="00D76A30"/>
    <w:rsid w:val="00D84F9C"/>
    <w:rsid w:val="00D85CD9"/>
    <w:rsid w:val="00D91465"/>
    <w:rsid w:val="00D92FD2"/>
    <w:rsid w:val="00D93AEE"/>
    <w:rsid w:val="00D941A3"/>
    <w:rsid w:val="00DA3018"/>
    <w:rsid w:val="00DA4239"/>
    <w:rsid w:val="00DB402D"/>
    <w:rsid w:val="00DC213F"/>
    <w:rsid w:val="00DC78C6"/>
    <w:rsid w:val="00DD075C"/>
    <w:rsid w:val="00DD0CEE"/>
    <w:rsid w:val="00DD22DE"/>
    <w:rsid w:val="00DD3EFB"/>
    <w:rsid w:val="00DD65FE"/>
    <w:rsid w:val="00DD6CDE"/>
    <w:rsid w:val="00DD7BFA"/>
    <w:rsid w:val="00DE6AC3"/>
    <w:rsid w:val="00DF24C8"/>
    <w:rsid w:val="00DF4546"/>
    <w:rsid w:val="00DF4AC6"/>
    <w:rsid w:val="00E00704"/>
    <w:rsid w:val="00E00948"/>
    <w:rsid w:val="00E0109E"/>
    <w:rsid w:val="00E13B81"/>
    <w:rsid w:val="00E16114"/>
    <w:rsid w:val="00E20837"/>
    <w:rsid w:val="00E2421F"/>
    <w:rsid w:val="00E2631C"/>
    <w:rsid w:val="00E266EC"/>
    <w:rsid w:val="00E26D31"/>
    <w:rsid w:val="00E31C88"/>
    <w:rsid w:val="00E34C94"/>
    <w:rsid w:val="00E34E24"/>
    <w:rsid w:val="00E40C31"/>
    <w:rsid w:val="00E45522"/>
    <w:rsid w:val="00E508C5"/>
    <w:rsid w:val="00E6295E"/>
    <w:rsid w:val="00E64868"/>
    <w:rsid w:val="00E64FDE"/>
    <w:rsid w:val="00E6768F"/>
    <w:rsid w:val="00E747C3"/>
    <w:rsid w:val="00E85CB8"/>
    <w:rsid w:val="00E902EB"/>
    <w:rsid w:val="00E905DD"/>
    <w:rsid w:val="00EA2075"/>
    <w:rsid w:val="00EA5C48"/>
    <w:rsid w:val="00EB102E"/>
    <w:rsid w:val="00EB18D3"/>
    <w:rsid w:val="00EB2254"/>
    <w:rsid w:val="00EB67B1"/>
    <w:rsid w:val="00EC0128"/>
    <w:rsid w:val="00EC73FD"/>
    <w:rsid w:val="00EE294F"/>
    <w:rsid w:val="00EE2F7C"/>
    <w:rsid w:val="00EE487B"/>
    <w:rsid w:val="00EE53D7"/>
    <w:rsid w:val="00EE5BDB"/>
    <w:rsid w:val="00EF136F"/>
    <w:rsid w:val="00EF420D"/>
    <w:rsid w:val="00F03468"/>
    <w:rsid w:val="00F03A86"/>
    <w:rsid w:val="00F16F65"/>
    <w:rsid w:val="00F178CA"/>
    <w:rsid w:val="00F21D04"/>
    <w:rsid w:val="00F22B80"/>
    <w:rsid w:val="00F24A63"/>
    <w:rsid w:val="00F316FF"/>
    <w:rsid w:val="00F332F0"/>
    <w:rsid w:val="00F333A8"/>
    <w:rsid w:val="00F36E36"/>
    <w:rsid w:val="00F37378"/>
    <w:rsid w:val="00F37A36"/>
    <w:rsid w:val="00F419E6"/>
    <w:rsid w:val="00F448EA"/>
    <w:rsid w:val="00F53898"/>
    <w:rsid w:val="00F567BC"/>
    <w:rsid w:val="00F5718A"/>
    <w:rsid w:val="00F61F5D"/>
    <w:rsid w:val="00F63785"/>
    <w:rsid w:val="00F73BBE"/>
    <w:rsid w:val="00F75F64"/>
    <w:rsid w:val="00F9533E"/>
    <w:rsid w:val="00FA101A"/>
    <w:rsid w:val="00FB1B58"/>
    <w:rsid w:val="00FB6B22"/>
    <w:rsid w:val="00FB6C21"/>
    <w:rsid w:val="00FC3BD2"/>
    <w:rsid w:val="00FC5325"/>
    <w:rsid w:val="00FC6A23"/>
    <w:rsid w:val="00FE0B98"/>
    <w:rsid w:val="00FE23FB"/>
    <w:rsid w:val="00FE27CF"/>
    <w:rsid w:val="00FE28F1"/>
    <w:rsid w:val="00FF287F"/>
    <w:rsid w:val="00FF4A1E"/>
    <w:rsid w:val="1819A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52C26"/>
  <w15:chartTrackingRefBased/>
  <w15:docId w15:val="{1D9FF862-AC5B-4E70-915A-0006C751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C3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E5CC6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5CC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5CC6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C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CC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CC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CC6"/>
    <w:rPr>
      <w:rFonts w:ascii="Times New Roman" w:eastAsia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5B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5BE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41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1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41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1F8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453C"/>
    <w:pPr>
      <w:snapToGrid w:val="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53C"/>
    <w:rPr>
      <w:rFonts w:ascii="Times New Roman" w:eastAsia="Times New Roman" w:hAnsi="Times New Roman" w:cs="Times New Roman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48453C"/>
    <w:rPr>
      <w:vertAlign w:val="superscript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B5D33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5B5D33"/>
    <w:rPr>
      <w:rFonts w:ascii="Times New Roman" w:eastAsia="Times New Roman" w:hAnsi="Times New Roman" w:cs="Times New Roman"/>
      <w:sz w:val="24"/>
      <w:szCs w:val="24"/>
    </w:rPr>
  </w:style>
  <w:style w:type="paragraph" w:customStyle="1" w:styleId="TextA">
    <w:name w:val="Text A"/>
    <w:qFormat/>
    <w:rsid w:val="00E13B8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character" w:styleId="UnresolvedMention">
    <w:name w:val="Unresolved Mention"/>
    <w:basedOn w:val="DefaultParagraphFont"/>
    <w:uiPriority w:val="99"/>
    <w:semiHidden/>
    <w:unhideWhenUsed/>
    <w:rsid w:val="00C4641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42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xubin@arizona.ed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i.org/10.1175/WAF-D-18-0125.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urnals.ametsoc.org/doi/abs/10.1175/WAF-D-18-0125.1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D0B3CBE62D2B47AC529DCC165AE620" ma:contentTypeVersion="15" ma:contentTypeDescription="Create a new document." ma:contentTypeScope="" ma:versionID="44c9018ecfd6882aba5285bddae203ae">
  <xsd:schema xmlns:xsd="http://www.w3.org/2001/XMLSchema" xmlns:xs="http://www.w3.org/2001/XMLSchema" xmlns:p="http://schemas.microsoft.com/office/2006/metadata/properties" xmlns:ns1="http://schemas.microsoft.com/sharepoint/v3" xmlns:ns3="73eb0a15-f7f5-4eb7-bfb9-c4e7d3c1bd9e" xmlns:ns4="d6e63fee-7f28-4934-86a3-6a9fa92a8d39" targetNamespace="http://schemas.microsoft.com/office/2006/metadata/properties" ma:root="true" ma:fieldsID="e4a2228f71c3c96477b318b2ffc5c8dc" ns1:_="" ns3:_="" ns4:_="">
    <xsd:import namespace="http://schemas.microsoft.com/sharepoint/v3"/>
    <xsd:import namespace="73eb0a15-f7f5-4eb7-bfb9-c4e7d3c1bd9e"/>
    <xsd:import namespace="d6e63fee-7f28-4934-86a3-6a9fa92a8d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b0a15-f7f5-4eb7-bfb9-c4e7d3c1bd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63fee-7f28-4934-86a3-6a9fa92a8d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F9415D7-0BFB-4E99-94A9-1BDE3AD2D6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157BF1-E5E1-4F04-BB53-E5CFC55CE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eb0a15-f7f5-4eb7-bfb9-c4e7d3c1bd9e"/>
    <ds:schemaRef ds:uri="d6e63fee-7f28-4934-86a3-6a9fa92a8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F0D4E4-671C-40C7-AC37-63BE4372AE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093CD4-A861-47B4-87D3-10533E8460D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Family Insurance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Kyle R</dc:creator>
  <cp:keywords/>
  <dc:description/>
  <cp:lastModifiedBy>Terrie Thompson</cp:lastModifiedBy>
  <cp:revision>2</cp:revision>
  <cp:lastPrinted>2021-03-29T20:35:00Z</cp:lastPrinted>
  <dcterms:created xsi:type="dcterms:W3CDTF">2024-04-08T20:37:00Z</dcterms:created>
  <dcterms:modified xsi:type="dcterms:W3CDTF">2024-04-08T20:37:00Z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0x010100CFD0B3CBE62D2B47AC529DCC165AE620</vt:lpwstr>
  </property>
</Properties>
</file>